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87" w:rsidRPr="009E1F87" w:rsidRDefault="009E1F87" w:rsidP="009E1F87">
      <w:pPr>
        <w:ind w:left="-851" w:right="-143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b/>
          <w:color w:val="000000"/>
          <w:sz w:val="28"/>
          <w:szCs w:val="28"/>
        </w:rPr>
        <w:t>Об ускоренном развитии отдельных административно-территориальных единиц</w:t>
      </w:r>
    </w:p>
    <w:p w:rsidR="009E1F87" w:rsidRPr="009E1F87" w:rsidRDefault="009E1F87" w:rsidP="009E1F87">
      <w:pPr>
        <w:ind w:left="-851" w:right="-143" w:firstLine="851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Умный регион</w:t>
      </w:r>
    </w:p>
    <w:p w:rsidR="009E1F87" w:rsidRDefault="009E1F87" w:rsidP="009E1F8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Совета Министров Республики Беларусь №627 от 18.09.2019 «Об ускоренном развитии отдельных административно-территориальных единиц» определена необходимость создания условий и принятие мер для ускоренного социально-экономического развития ряда административно-территориальных единиц: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город Барановичи и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Барановичский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город Пинск и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Пинский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- город Новополоцк;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- Полоцкий район;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Мозырский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Лидский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Борисовский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Молодечненский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 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Солигорский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район;</w:t>
      </w:r>
    </w:p>
    <w:p w:rsidR="009E1F87" w:rsidRDefault="009E1F87" w:rsidP="009E1F87">
      <w:pPr>
        <w:spacing w:after="0"/>
        <w:ind w:left="-851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- город Бобруйск и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Бобруйский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район. </w:t>
      </w:r>
    </w:p>
    <w:p w:rsidR="006F12E7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Этот документ развивает региональную политику по ускоренному развитию регионов, являющихся потенциальными центрами экономического роста, определенную в Постановлении Совета Министров Республики Беларусь от 31.10.2018 № 774. Согласно замыслу, в этих регионах планируется поднять уровень средней заработной платы, увеличить инвестиции в основной капитал и выручку от продажи товаров и услуг, а также увеличить собственные доходы местных бюджетов.</w:t>
      </w:r>
    </w:p>
    <w:p w:rsidR="006F12E7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Также планируется добиться увеличения количества занятого в экономике населения. Во исполнение Поручения Президента Республики Беларусь, данного </w:t>
      </w:r>
      <w:r w:rsidR="006F12E7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19 апреля 2019 г. во время Послания белорусскому народу и Национальному собранию Республики Беларусь, разработаны и утверждены решениями соответствующих облисполкомов Комплексные планы ускоренного развития указанных административно-территориальных единиц, одним из мероприятий которого является разработка и реализация концепции «Умный город». </w:t>
      </w:r>
    </w:p>
    <w:p w:rsidR="00C046E8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«Умный город» – система, интегрирующая «умные» решения и организационные мероприятия для управления городским имуществом (активами) на основе современных ИКТ в целях улучшения качества жизни и удовлетворения нужд горожан, государственного и частного бизнеса, органов местного управления. «Умные» решения представляют собой электронные сервисы, предоставляющие потребителям необходимый функционал по доступу к информации и услугам, а также упрощающие взаимодействие между жителями, бизнесом и местной администрацией. «Умный город» – это не самоцель, он должен служить </w:t>
      </w:r>
      <w:r w:rsidRPr="009E1F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инструментом для повышения уровня и качества жизни людей, для развития экономики, социальной сферы, культуры и искусства. </w:t>
      </w:r>
    </w:p>
    <w:p w:rsidR="00C046E8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В соответствии со стратегией развития информатизации в Республике Беларусь на 2016 – 2022 годы, одобренной Президиумом Совета Министров Республики Беларусь (протокол от 3 ноября 2015 г. № 26), и постановлением Совета Министров Республики Беларусь от 23 марта 2016 г. № 235 «Об утверждении Государственной программы развития цифровой экономики и информационного общества на 2016 – 2020 годы», Министерством связи и информатизации Республики Беларусь разработана и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5 июня 2019 г. утверждена Типовая концепция развития «умных городов» в Республике Беларусь. Особенностью данной концепции является ее распространение на целые регионы (административно – территориальные единицы). </w:t>
      </w:r>
    </w:p>
    <w:p w:rsidR="00C046E8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«Умный регион» рассматривается как территория инновационного развития, использующая цифровые технологии для повышения уровня жизни, эффективности человеческой деятельности и конкурентоспособности экономики, при обеспечении удовлетворения потребностей настоящего и будущих поколений в устойчивом развитии. Иными словами, «умный регион» – современное и технологичное пространство с единой информационной средой, в котором жителям будет удобно и приятно жить, бизнесу – активно развиваться, а местной администрации – своевременно и качественно решать задачи управления своими активами в интересах граждан и при их активном участии. </w:t>
      </w:r>
    </w:p>
    <w:p w:rsidR="00C046E8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Развитие «умных регионов» предполаг</w:t>
      </w:r>
      <w:r w:rsidR="00C046E8">
        <w:rPr>
          <w:rFonts w:ascii="Times New Roman" w:hAnsi="Times New Roman" w:cs="Times New Roman"/>
          <w:color w:val="000000"/>
          <w:sz w:val="28"/>
          <w:szCs w:val="28"/>
        </w:rPr>
        <w:t>ается по следующим направлениям: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развитием региона путем внедрения автоматизированной информационно-управляющей системы, интегрированной с платформой активного вовлечения населения в решение вопросов регионального развития, в том числе путем оценки решений местных администраций, а также размещения идей и предложений по региональным проектам. 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Жилищно-коммунальное хозяйство и распоряжение имуществом – предполагается внедрение систем автоматического учета потребления ресурсов, контроля технического состояния объектов инфраструктуры, сервисов информирования населения и сбора отзывов о работе коммунальных служб, сервисов по упрощению процессов распоряжения недвижимым имуществом и др. 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Топливно-энергетический комплекс – оптимизации процессов потребления и учета энергии, ее генерации с наименьшими затратами и выбросами в окружающую среду. 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Городское планирование и строительство – рациональное развитие инфраструктуры на основе актуализированных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геопространственных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данных в совокупности с объективной информацией об объектах. 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Управление объектами инфраструктуры – внедрение разнообразных сервисов по мониторингу и управлению социально значимыми услугами: уличным освещением, ливневой канализацией, общественными парковками, работой дорожных служб и многими другими. </w:t>
      </w:r>
    </w:p>
    <w:p w:rsidR="0085187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Общественная безопасность – развитие систем видеонаблюдения, мониторинга и своевременного оповещения населения о чрезвычайных ситуациях и т.п. 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Общественный и личный транспорт – обеспечение повышения уровня доступности, качества и безопасности транспортных услуг и передвижения на личном транспорте, а также оптимизация затрат на управление транспортной инфраструктурой путем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транспортной инфраструктуры («умные» остановки и светофоры, контроль движения общественного транспорта и электронный сбор оплаты за проезд в нем,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фото-видеофиксация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правил дорожного движения, сервисы заказа такси и аренды автомобилей, велосипедов и т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.п.). 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Здравоохранение и социальная защита населения. В сфере здравоохранения с помощью информационных технологий планируется решить задачи по гарантированию гражданам доступной и качественной медицинской помощи, а также превентивности диагностирования заболеваний и безопасности здоровья путем применения интеллектуальных систем для дистанционного мониторинга здоровья, использования электронных медицинских карт и технологий обработки больших данных на уровне диагностики и лечения пациентов. В области социальной защиты получат развитие сервисы по оформлению медицинских и иных видов страховых полисов, пособий и социальных выплат, и других услуг в электронном виде.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– развитие системы подготовки кадров и повышения квалификации с широким применением электронных средств обучения и сервисов (в том числе дистанционного обучения) и обеспечение оперативной адаптации учебных материалов к стремительному развитию информационных технологий. 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Культура, туризм – развитие интерактивных способов презентации объектов и мероприятий, электронных сервисов-гидов по достопримечательностям, музеям и другим объектам культурного и исторического наследия (включая аудио и видео экскурсии по ним), интеграция с сервисами в области транспорта, общественного питания и гостиничного бизнеса. 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Жизнедеятельность и досуг граждан – развитие единого информационного пространства региона, обеспечивающего доступ населению к интересующей информации и местным новостям, дистанционного приобретения товаров и оплаты услуг, переход к оказанию государственных услуг и административных процедур в электронном виде. </w:t>
      </w:r>
    </w:p>
    <w:p w:rsidR="005B49B0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Экология – использование экологических карт региона и сервисов на их основе (публичный мониторинг качества воды, воздуха, состояния флоры и фауны, уровня шума, загруженности дорог и т.д.). 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Приведенные направления и примеры совершенствования процессов не являются конечным перечнем технологий «умного региона». Едва ли не каждый день в мире появляются новые решения. Обладая необходимой инфраструктурой, кадровыми и материальными ресурсами, каждая административно-территориальная единица может инициировать и собственные инновации в части цифровых преобразований. В целом реализуемые решения по развитию «умного региона» должны быть ориентированы на упрощение и повышение качества протекающих в регионе 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в части: 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механизмов местного управления; 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благоприятных условий жизнедеятельности и ведения предпринимательской деятельности; 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условий для экономии расходования энергоресурсов; 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улучшения экологической обстановки; повышения уровня безопасности жизни и готовности служб к оперативному реагированию на чрезвычайные ситуации;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укрепления инновационного и экономического потенциала региона;</w:t>
      </w:r>
    </w:p>
    <w:p w:rsidR="00A519EB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повышения уровня удовлетворенности граждан работой различных служб, в том числе посредством их активного вовлечения в принятие решений по развитию региона. </w:t>
      </w:r>
    </w:p>
    <w:p w:rsidR="00011426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Залогом успеха в данном направлении является наличие понимания у руководства административно-территориальной единицы, что такие преобразования – наиболее эффективный путь развития, целей и задач внедрения технологий «умного региона», а также устранение препятствий по внедрению «умных» решений. </w:t>
      </w:r>
    </w:p>
    <w:p w:rsidR="00011426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Для того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чтобы цифровые преобразования регионального развития в белорусских условиях осуществлялись более динамично, необходимо: </w:t>
      </w:r>
    </w:p>
    <w:p w:rsidR="00011426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местном управлении кадров, обладающих знаниями и практическим опытом планирования и проведения работы по информатизации на уровне регионов в целях их развития; </w:t>
      </w:r>
    </w:p>
    <w:p w:rsidR="00011426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в комплексных планах развития административно-территориальных единиц рассматривать информатизацию в качестве приоритетного направления и (или) источника эффективного развития; </w:t>
      </w:r>
    </w:p>
    <w:p w:rsidR="00011426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информировать население о возможных решениях «умного региона» и ожидаемых эффектах от их внедрения, учесть мнение жителей о целесообразности тех или иных «умных» решений и особенностях их реализации. </w:t>
      </w:r>
    </w:p>
    <w:p w:rsidR="008C609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тем, в настоящее время цифровые преобразования регионального развития в белорусских условиях осуществляется 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медленно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и основываются </w:t>
      </w:r>
      <w:r w:rsidRPr="009E1F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преимущественно на решениях, инициированных на республиканском уровне. К основным причинам подобной ситуации представляется возможным отнести:</w:t>
      </w:r>
    </w:p>
    <w:p w:rsidR="008C609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в местном управлении кадров, обладающих знаниями и практическим опытом планирования и проведения работы по информатизации на уровне регионов в целях их развития; </w:t>
      </w:r>
    </w:p>
    <w:p w:rsidR="008C609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в комплексных планах развития административно-территориальных единиц информатизация не рассматривается в качестве приоритетного направления и (или) источника эффективного развития; </w:t>
      </w:r>
    </w:p>
    <w:p w:rsidR="008C609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концентрация на решении проблем регионов традиционными способами, актуальными для этапа индустриального способа развития; </w:t>
      </w:r>
    </w:p>
    <w:p w:rsidR="008C609D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недостаточная информированность населения о возможных решениях «умного региона» и ожидаемых эффектах от их внедрения, отсутствие механизмов учета мнения жителей о целесообразности тех или иных «умных» решениях и особенностях их реализации. </w:t>
      </w:r>
    </w:p>
    <w:p w:rsidR="007E628F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>В настоящее время в соответствии с постановлением Совета Министров Республики Беларусь от 18 мая 2020 г. № 293 по поручению Министерства связи и информатизации Республики Беларусь ОАО «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Гипросвязь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» выполняется адаптация Типовой концепции развития «умных городов» в Республике Беларусь для указанных выше административно-территориальных единиц. 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будут разработаны уточненные концепции развития «умных» административно-территориальных единиц, включая «дорожную карту» реализации концепций, содержащую перечень планируемых мероприятий (внедряемых «умных» решений) и ожидаемые результаты. </w:t>
      </w:r>
      <w:proofErr w:type="gramEnd"/>
    </w:p>
    <w:p w:rsidR="007E628F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В процессе формирования перечня внедряемых «умных» решений необходимо учитывать наличие подобных решений, внедряемых на республиканском и областных уровнях, особенности развития каждой административно-территориальной единицы, имеющиеся потребности (жителей, бизнеса и органов местного управления), потенциальные «точки роста» региона и наличие необходимых условий для адаптации его жителей к новым условиям.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При отборе «умных» решений для включения их в планируемую «дорожную карту» будут учтены их важность для регионального социума в целом, социальная направленность, степень удовлетворения конкретных потребностей, возможность привлечения сторонних источников финансирования, наличие потенциальных исполнителей, степень интеграции с другими «умными» решениями, ожидаемые сроки реализации, состояние существующей нормативной правовой базы, имеющийся и планируемый уровни развития информационно-коммуникационной инфраструктуры в регионе, мнение жителей об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актуальности, целесообразности и важности предлагаемых решений, готовность населения, бизнеса и администрации региона к их внедрению и другие существенные факторы. Окончательный отбор решений, включаемых в «дорожную </w:t>
      </w:r>
      <w:r w:rsidRPr="009E1F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карту», будет произведен по результатам широкого обсуждения, оценки и согласования с последующим утверждением документа руководителем административно-территориальной единицы. </w:t>
      </w:r>
    </w:p>
    <w:p w:rsidR="007E628F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Потенциальные «точки роста» в регионе определяются наличием неиспользуемых или используемых неэффективно ресурсов (людских, материальных), которые могут быть эффективно использованы в производстве товаров или услуг с применением современных ИКТ. </w:t>
      </w:r>
      <w:proofErr w:type="gram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Поиск таких потенциальных «точек роста» требует наличия полной и достоверной информации о занятости населения в регионе, уровне квалификации потенциальных работников и возможности их обучения, наличии свободных (не используемых в производстве) площадей, состояния транспортных коммуникаций, залежей полезных ископаемых, возможностей по производству предприятиями промышленности и сельского хозяйства различных видов продукции, наличия и специфику учреждений высшего и среднего специального образования, существующей специализации региона</w:t>
      </w:r>
      <w:proofErr w:type="gram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на производстве конкретных видов продукции и других факторов. </w:t>
      </w:r>
    </w:p>
    <w:p w:rsidR="006F12E7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В целях учета мнения населения и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 региона о актуальности, целесообразности и важности возможных «умных» решений, существующих неудовлетворенных потребностях жителей и 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бизнес-сообщества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>, наличии потенциальных «точек роста», а также иных возможностях, позволяющих организовать производство товаров или услуг с высокой добавленной стоимостью на основе современных ИКТ, руководство ОАО «</w:t>
      </w:r>
      <w:proofErr w:type="spellStart"/>
      <w:r w:rsidRPr="009E1F87">
        <w:rPr>
          <w:rFonts w:ascii="Times New Roman" w:hAnsi="Times New Roman" w:cs="Times New Roman"/>
          <w:color w:val="000000"/>
          <w:sz w:val="28"/>
          <w:szCs w:val="28"/>
        </w:rPr>
        <w:t>Гипросвязь</w:t>
      </w:r>
      <w:proofErr w:type="spellEnd"/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» просит заинтересованных лиц сообщить свое мнение в произвольной форме по электронной почте </w:t>
      </w:r>
      <w:hyperlink r:id="rId4" w:history="1">
        <w:r w:rsidR="006F12E7" w:rsidRPr="00767FB6">
          <w:rPr>
            <w:rStyle w:val="a3"/>
            <w:rFonts w:ascii="Times New Roman" w:hAnsi="Times New Roman" w:cs="Times New Roman"/>
            <w:sz w:val="28"/>
            <w:szCs w:val="28"/>
          </w:rPr>
          <w:t>aup@giprosvjaz.by</w:t>
        </w:r>
      </w:hyperlink>
      <w:r w:rsidR="006F12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F12E7" w:rsidRDefault="009E1F87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Источник: официальный сайт </w:t>
      </w:r>
      <w:proofErr w:type="spellStart"/>
      <w:r w:rsidR="006F12E7">
        <w:rPr>
          <w:rFonts w:ascii="Times New Roman" w:hAnsi="Times New Roman" w:cs="Times New Roman"/>
          <w:color w:val="000000"/>
          <w:sz w:val="28"/>
          <w:szCs w:val="28"/>
        </w:rPr>
        <w:t>Пинского</w:t>
      </w:r>
      <w:proofErr w:type="spellEnd"/>
      <w:r w:rsidR="006F1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1F8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исполнительного комитета, </w:t>
      </w:r>
      <w:hyperlink r:id="rId5" w:history="1">
        <w:r w:rsidR="00C046E8" w:rsidRPr="00767FB6">
          <w:rPr>
            <w:rStyle w:val="a3"/>
            <w:rFonts w:ascii="Times New Roman" w:hAnsi="Times New Roman" w:cs="Times New Roman"/>
            <w:sz w:val="28"/>
            <w:szCs w:val="28"/>
          </w:rPr>
          <w:t>http://pinsk.gov.by/economy/umnyy-gorod.php</w:t>
        </w:r>
      </w:hyperlink>
      <w:r w:rsidR="00C046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46E8" w:rsidRPr="009E1F87" w:rsidRDefault="00C046E8" w:rsidP="006F12E7">
      <w:pPr>
        <w:spacing w:after="0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46E8" w:rsidRPr="009E1F87" w:rsidSect="0015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F87"/>
    <w:rsid w:val="00011426"/>
    <w:rsid w:val="00156DED"/>
    <w:rsid w:val="005B49B0"/>
    <w:rsid w:val="006F12E7"/>
    <w:rsid w:val="007E628F"/>
    <w:rsid w:val="0085187D"/>
    <w:rsid w:val="008C609D"/>
    <w:rsid w:val="009E1F87"/>
    <w:rsid w:val="00A519EB"/>
    <w:rsid w:val="00C0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2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sk.gov.by/economy/umnyy-gorod.php" TargetMode="External"/><Relationship Id="rId4" Type="http://schemas.openxmlformats.org/officeDocument/2006/relationships/hyperlink" Target="mailto:aup@giprosvjaz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2021-06-10T07:22:00Z</cp:lastPrinted>
  <dcterms:created xsi:type="dcterms:W3CDTF">2021-06-10T08:13:00Z</dcterms:created>
  <dcterms:modified xsi:type="dcterms:W3CDTF">2021-06-10T08:13:00Z</dcterms:modified>
</cp:coreProperties>
</file>