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337" w:rsidRPr="000B13FF" w:rsidRDefault="005F5337" w:rsidP="005F5337">
      <w:pPr>
        <w:shd w:val="clear" w:color="auto" w:fill="FFFFFF"/>
        <w:jc w:val="center"/>
        <w:outlineLvl w:val="1"/>
        <w:rPr>
          <w:rFonts w:ascii="Arial" w:eastAsia="Times New Roman" w:hAnsi="Arial" w:cs="Arial"/>
          <w:b/>
          <w:bCs/>
          <w:caps/>
          <w:color w:val="595BAD"/>
          <w:sz w:val="36"/>
          <w:szCs w:val="36"/>
        </w:rPr>
      </w:pPr>
      <w:r w:rsidRPr="000B13FF">
        <w:rPr>
          <w:rFonts w:ascii="Arial" w:eastAsia="Times New Roman" w:hAnsi="Arial" w:cs="Arial"/>
          <w:b/>
          <w:bCs/>
          <w:caps/>
          <w:color w:val="595BAD"/>
          <w:sz w:val="36"/>
          <w:szCs w:val="36"/>
        </w:rPr>
        <w:t>Охра</w:t>
      </w:r>
      <w:r>
        <w:rPr>
          <w:rFonts w:ascii="Arial" w:eastAsia="Times New Roman" w:hAnsi="Arial" w:cs="Arial"/>
          <w:b/>
          <w:bCs/>
          <w:caps/>
          <w:color w:val="595BAD"/>
          <w:sz w:val="36"/>
          <w:szCs w:val="36"/>
        </w:rPr>
        <w:t>на труда в студенческих отрядах</w:t>
      </w:r>
    </w:p>
    <w:p w:rsidR="00F4728A" w:rsidRDefault="00F4728A" w:rsidP="0043727A">
      <w:pPr>
        <w:pStyle w:val="a4"/>
        <w:shd w:val="clear" w:color="auto" w:fill="FFFFFF"/>
        <w:spacing w:before="0" w:beforeAutospacing="0" w:after="384" w:afterAutospacing="0"/>
        <w:ind w:firstLine="708"/>
        <w:jc w:val="both"/>
        <w:textAlignment w:val="baseline"/>
        <w:rPr>
          <w:sz w:val="28"/>
          <w:szCs w:val="28"/>
        </w:rPr>
      </w:pPr>
      <w:r w:rsidRPr="0043727A">
        <w:rPr>
          <w:sz w:val="28"/>
          <w:szCs w:val="28"/>
        </w:rPr>
        <w:t xml:space="preserve">Важным моментом деятельности студенческих отрядов является обеспечение для студентов и учащихся безопасных условий труда, быта и отдыха. Согласно требованиям п.1.8. Указа </w:t>
      </w:r>
      <w:r w:rsidR="00262757" w:rsidRPr="0043727A">
        <w:rPr>
          <w:bCs/>
          <w:sz w:val="28"/>
          <w:szCs w:val="28"/>
        </w:rPr>
        <w:t xml:space="preserve">Президента Республики Беларусь </w:t>
      </w:r>
      <w:r w:rsidR="00262757" w:rsidRPr="0043727A">
        <w:rPr>
          <w:rStyle w:val="datepr"/>
          <w:sz w:val="28"/>
          <w:szCs w:val="28"/>
        </w:rPr>
        <w:t>16 апреля 2012 г.</w:t>
      </w:r>
      <w:r w:rsidR="00262757" w:rsidRPr="0043727A">
        <w:rPr>
          <w:rStyle w:val="number"/>
          <w:sz w:val="28"/>
          <w:szCs w:val="28"/>
        </w:rPr>
        <w:t xml:space="preserve"> № 181 «</w:t>
      </w:r>
      <w:r w:rsidR="00262757" w:rsidRPr="0043727A">
        <w:rPr>
          <w:sz w:val="28"/>
          <w:szCs w:val="28"/>
        </w:rPr>
        <w:t>Об организации деятельности студенческих отрядов на территории Республики Беларусь»</w:t>
      </w:r>
      <w:r w:rsidR="00262757" w:rsidRPr="0043727A">
        <w:rPr>
          <w:bCs/>
          <w:sz w:val="28"/>
          <w:szCs w:val="28"/>
        </w:rPr>
        <w:t xml:space="preserve"> (далее — Указ) </w:t>
      </w:r>
      <w:r w:rsidRPr="0043727A">
        <w:rPr>
          <w:sz w:val="28"/>
          <w:szCs w:val="28"/>
        </w:rPr>
        <w:t>для участников студенческих отрядов должны быть созданы здоровые и безопасные условия труда. Их обязаны обеспечить как организации, на объектах которых будут осуществлять свою деятельность студенческие отряды (далее – принимающие организации),</w:t>
      </w:r>
      <w:r w:rsidR="009843F4" w:rsidRPr="0043727A">
        <w:rPr>
          <w:sz w:val="28"/>
          <w:szCs w:val="28"/>
        </w:rPr>
        <w:t xml:space="preserve"> так и направляющие организации</w:t>
      </w:r>
      <w:r w:rsidRPr="0043727A">
        <w:rPr>
          <w:sz w:val="28"/>
          <w:szCs w:val="28"/>
        </w:rPr>
        <w:t>, сформировавшие студенческие отряды.</w:t>
      </w:r>
    </w:p>
    <w:p w:rsidR="00FE4C02" w:rsidRPr="00FE4C02" w:rsidRDefault="00FE4C02" w:rsidP="00FE4C02">
      <w:pPr>
        <w:pStyle w:val="a4"/>
        <w:shd w:val="clear" w:color="auto" w:fill="FFFFFF"/>
        <w:spacing w:before="0" w:beforeAutospacing="0" w:after="384" w:afterAutospacing="0"/>
        <w:ind w:firstLine="708"/>
        <w:jc w:val="both"/>
        <w:textAlignment w:val="baseline"/>
        <w:rPr>
          <w:sz w:val="28"/>
          <w:szCs w:val="28"/>
        </w:rPr>
      </w:pPr>
      <w:r w:rsidRPr="00FE4C02">
        <w:rPr>
          <w:sz w:val="28"/>
          <w:szCs w:val="28"/>
        </w:rPr>
        <w:t>Зачисление в студенческий отряд студентов и учащихся учреждений образования производится согласно пункту 1.4 Указа при условии достижения ими возраста 14 лет, а также при условии отсутствия медицинских противопоказаний к выполнению осуществляемых видов деятельности (работ), подтвержденных медицинской справкой о состоянии здоровья. Все лица моложе 18 лет принимаются на работу лишь после предварительного медосмотра.</w:t>
      </w:r>
    </w:p>
    <w:p w:rsidR="00FE4C02" w:rsidRPr="00FE4C02" w:rsidRDefault="00FE4C02" w:rsidP="00FE4C02">
      <w:pPr>
        <w:pStyle w:val="a4"/>
        <w:shd w:val="clear" w:color="auto" w:fill="FFFFFF"/>
        <w:spacing w:before="0" w:beforeAutospacing="0" w:after="384" w:afterAutospacing="0"/>
        <w:ind w:firstLine="708"/>
        <w:jc w:val="both"/>
        <w:textAlignment w:val="baseline"/>
        <w:rPr>
          <w:sz w:val="28"/>
          <w:szCs w:val="28"/>
        </w:rPr>
      </w:pPr>
      <w:r w:rsidRPr="00FE4C02">
        <w:rPr>
          <w:sz w:val="28"/>
          <w:szCs w:val="28"/>
        </w:rPr>
        <w:t>Согласно статье 272 ТК трудовой договор заключается с лицами, достигшими 16 лет. С письменного согласия одного из родителей (усыновителей, попечителей) трудовой договор может быть заключен с лицом, достигшим 14 лет, только для выполнения легкой работы, которая не является вредной для его здоровья.</w:t>
      </w:r>
    </w:p>
    <w:p w:rsidR="00FE4C02" w:rsidRPr="00FE4C02" w:rsidRDefault="00FE4C02" w:rsidP="00FE4C02">
      <w:pPr>
        <w:pStyle w:val="a4"/>
        <w:shd w:val="clear" w:color="auto" w:fill="FFFFFF"/>
        <w:spacing w:before="0" w:beforeAutospacing="0" w:after="0" w:afterAutospacing="0"/>
        <w:ind w:firstLine="708"/>
        <w:jc w:val="both"/>
        <w:textAlignment w:val="baseline"/>
        <w:rPr>
          <w:sz w:val="28"/>
          <w:szCs w:val="28"/>
        </w:rPr>
      </w:pPr>
      <w:r w:rsidRPr="00FE4C02">
        <w:rPr>
          <w:sz w:val="28"/>
          <w:szCs w:val="28"/>
        </w:rPr>
        <w:t>Виды работ, которые могут выполнять учащиеся в возрасте от 14 до 16 лет, а также нормы подъема и переноса тяжестей несовершеннолетними определены постановлениями Министерства труда и социальной защиты Республики Беларусь от 15.10.2010 г. № 144 «Об установлении перечня легких видов работ, которые могут выполнять лица в возрасте от четырнадцати до шестнадцати лет» и Министерства здравоохранения Республики Беларусь от 13.10.2010 г. № 134 «Об установлении предельных норм подъема и перемещения несовершеннолетними тяжестей вручную».</w:t>
      </w:r>
    </w:p>
    <w:tbl>
      <w:tblPr>
        <w:tblW w:w="5000" w:type="pct"/>
        <w:tblCellMar>
          <w:left w:w="0" w:type="dxa"/>
          <w:right w:w="0" w:type="dxa"/>
        </w:tblCellMar>
        <w:tblLook w:val="04A0"/>
      </w:tblPr>
      <w:tblGrid>
        <w:gridCol w:w="7094"/>
        <w:gridCol w:w="3833"/>
      </w:tblGrid>
      <w:tr w:rsidR="00FE4C02" w:rsidRPr="0055557B" w:rsidTr="001D5A22">
        <w:tc>
          <w:tcPr>
            <w:tcW w:w="3246" w:type="pct"/>
            <w:shd w:val="clear" w:color="auto" w:fill="auto"/>
            <w:tcMar>
              <w:top w:w="0" w:type="dxa"/>
              <w:left w:w="6" w:type="dxa"/>
              <w:bottom w:w="0" w:type="dxa"/>
              <w:right w:w="6" w:type="dxa"/>
            </w:tcMar>
            <w:hideMark/>
          </w:tcPr>
          <w:p w:rsidR="00FE4C02" w:rsidRPr="0055557B" w:rsidRDefault="00FE4C02" w:rsidP="00C06F38">
            <w:pPr>
              <w:pStyle w:val="newncpi"/>
              <w:ind w:firstLine="0"/>
              <w:jc w:val="left"/>
            </w:pPr>
            <w:r>
              <w:t> </w:t>
            </w:r>
          </w:p>
        </w:tc>
        <w:tc>
          <w:tcPr>
            <w:tcW w:w="1754" w:type="pct"/>
            <w:shd w:val="clear" w:color="auto" w:fill="auto"/>
            <w:tcMar>
              <w:top w:w="0" w:type="dxa"/>
              <w:left w:w="6" w:type="dxa"/>
              <w:bottom w:w="0" w:type="dxa"/>
              <w:right w:w="6" w:type="dxa"/>
            </w:tcMar>
            <w:hideMark/>
          </w:tcPr>
          <w:p w:rsidR="001D5A22" w:rsidRDefault="00FE4C02" w:rsidP="00C06F38">
            <w:pPr>
              <w:pStyle w:val="append1"/>
              <w:rPr>
                <w:sz w:val="20"/>
                <w:szCs w:val="20"/>
              </w:rPr>
            </w:pPr>
            <w:r w:rsidRPr="0055557B">
              <w:rPr>
                <w:sz w:val="20"/>
                <w:szCs w:val="20"/>
              </w:rPr>
              <w:t>Приложение</w:t>
            </w:r>
            <w:r w:rsidR="001D5A22" w:rsidRPr="0055557B">
              <w:rPr>
                <w:sz w:val="20"/>
                <w:szCs w:val="20"/>
              </w:rPr>
              <w:t xml:space="preserve"> к постановлению Министерства здравоохранения </w:t>
            </w:r>
          </w:p>
          <w:p w:rsidR="00FE4C02" w:rsidRPr="0055557B" w:rsidRDefault="001D5A22" w:rsidP="00C06F38">
            <w:pPr>
              <w:pStyle w:val="append1"/>
              <w:rPr>
                <w:sz w:val="20"/>
                <w:szCs w:val="20"/>
              </w:rPr>
            </w:pPr>
            <w:r w:rsidRPr="0055557B">
              <w:rPr>
                <w:sz w:val="20"/>
                <w:szCs w:val="20"/>
              </w:rPr>
              <w:t>Республики Беларусь</w:t>
            </w:r>
          </w:p>
          <w:p w:rsidR="00FE4C02" w:rsidRPr="0055557B" w:rsidRDefault="001D5A22" w:rsidP="00C06F38">
            <w:pPr>
              <w:pStyle w:val="append"/>
              <w:rPr>
                <w:sz w:val="20"/>
                <w:szCs w:val="20"/>
              </w:rPr>
            </w:pPr>
            <w:r w:rsidRPr="0055557B">
              <w:rPr>
                <w:sz w:val="20"/>
                <w:szCs w:val="20"/>
              </w:rPr>
              <w:t>13.10.2010 № 134</w:t>
            </w:r>
          </w:p>
        </w:tc>
      </w:tr>
    </w:tbl>
    <w:p w:rsidR="00FE4C02" w:rsidRDefault="00FE4C02" w:rsidP="001D5A22">
      <w:pPr>
        <w:pStyle w:val="titlep"/>
        <w:spacing w:before="0"/>
      </w:pPr>
      <w:r>
        <w:t>Предельные нормы подъема и перемещения несовершеннолетними тяжестей вручную</w:t>
      </w:r>
    </w:p>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4A0"/>
      </w:tblPr>
      <w:tblGrid>
        <w:gridCol w:w="2757"/>
        <w:gridCol w:w="2046"/>
        <w:gridCol w:w="2085"/>
        <w:gridCol w:w="2085"/>
        <w:gridCol w:w="1954"/>
      </w:tblGrid>
      <w:tr w:rsidR="00FE4C02" w:rsidRPr="0055557B" w:rsidTr="00C06F38">
        <w:trPr>
          <w:trHeight w:val="240"/>
        </w:trPr>
        <w:tc>
          <w:tcPr>
            <w:tcW w:w="1262" w:type="pct"/>
            <w:vMerge w:val="restart"/>
            <w:tcBorders>
              <w:bottom w:val="single" w:sz="4" w:space="0" w:color="auto"/>
              <w:right w:val="single" w:sz="4" w:space="0" w:color="auto"/>
            </w:tcBorders>
            <w:shd w:val="clear" w:color="auto" w:fill="auto"/>
            <w:tcMar>
              <w:top w:w="0" w:type="dxa"/>
              <w:left w:w="6" w:type="dxa"/>
              <w:bottom w:w="0" w:type="dxa"/>
              <w:right w:w="6" w:type="dxa"/>
            </w:tcMar>
            <w:vAlign w:val="center"/>
            <w:hideMark/>
          </w:tcPr>
          <w:p w:rsidR="00FE4C02" w:rsidRPr="0055557B" w:rsidRDefault="00FE4C02" w:rsidP="00C06F38">
            <w:pPr>
              <w:pStyle w:val="table10"/>
              <w:jc w:val="center"/>
            </w:pPr>
            <w:r w:rsidRPr="0055557B">
              <w:t>Возраст, пол несовершеннолетних</w:t>
            </w:r>
          </w:p>
        </w:tc>
        <w:tc>
          <w:tcPr>
            <w:tcW w:w="1890" w:type="pct"/>
            <w:gridSpan w:val="2"/>
            <w:tcBorders>
              <w:left w:val="single" w:sz="4" w:space="0" w:color="auto"/>
              <w:bottom w:val="single" w:sz="4" w:space="0" w:color="auto"/>
              <w:right w:val="single" w:sz="4" w:space="0" w:color="auto"/>
            </w:tcBorders>
            <w:shd w:val="clear" w:color="auto" w:fill="auto"/>
            <w:tcMar>
              <w:top w:w="0" w:type="dxa"/>
              <w:left w:w="6" w:type="dxa"/>
              <w:bottom w:w="0" w:type="dxa"/>
              <w:right w:w="6" w:type="dxa"/>
            </w:tcMar>
            <w:vAlign w:val="center"/>
            <w:hideMark/>
          </w:tcPr>
          <w:p w:rsidR="00FE4C02" w:rsidRPr="0055557B" w:rsidRDefault="00FE4C02" w:rsidP="00C06F38">
            <w:pPr>
              <w:pStyle w:val="table10"/>
              <w:jc w:val="center"/>
            </w:pPr>
            <w:r w:rsidRPr="0055557B">
              <w:t>Подъем и перемещение груза вручную в течение смены</w:t>
            </w:r>
          </w:p>
        </w:tc>
        <w:tc>
          <w:tcPr>
            <w:tcW w:w="1848" w:type="pct"/>
            <w:gridSpan w:val="2"/>
            <w:tcBorders>
              <w:left w:val="single" w:sz="4" w:space="0" w:color="auto"/>
              <w:bottom w:val="single" w:sz="4" w:space="0" w:color="auto"/>
            </w:tcBorders>
            <w:shd w:val="clear" w:color="auto" w:fill="auto"/>
            <w:tcMar>
              <w:top w:w="0" w:type="dxa"/>
              <w:left w:w="6" w:type="dxa"/>
              <w:bottom w:w="0" w:type="dxa"/>
              <w:right w:w="6" w:type="dxa"/>
            </w:tcMar>
            <w:vAlign w:val="center"/>
            <w:hideMark/>
          </w:tcPr>
          <w:p w:rsidR="00FE4C02" w:rsidRPr="0055557B" w:rsidRDefault="00FE4C02" w:rsidP="00C06F38">
            <w:pPr>
              <w:pStyle w:val="table10"/>
              <w:jc w:val="center"/>
            </w:pPr>
            <w:r w:rsidRPr="0055557B">
              <w:t>Суммарная масса груза*, поднимаемого и перемещаемого в течение смены</w:t>
            </w:r>
          </w:p>
        </w:tc>
      </w:tr>
      <w:tr w:rsidR="00FE4C02" w:rsidRPr="0055557B" w:rsidTr="00C06F38">
        <w:tc>
          <w:tcPr>
            <w:tcW w:w="0" w:type="auto"/>
            <w:vMerge/>
            <w:tcBorders>
              <w:bottom w:val="single" w:sz="4" w:space="0" w:color="auto"/>
              <w:right w:val="single" w:sz="4" w:space="0" w:color="auto"/>
            </w:tcBorders>
            <w:shd w:val="clear" w:color="auto" w:fill="auto"/>
            <w:vAlign w:val="center"/>
            <w:hideMark/>
          </w:tcPr>
          <w:p w:rsidR="00FE4C02" w:rsidRPr="0055557B" w:rsidRDefault="00FE4C02" w:rsidP="00C06F38">
            <w:pPr>
              <w:rPr>
                <w:rFonts w:ascii="Times New Roman" w:eastAsia="Times New Roman" w:hAnsi="Times New Roman"/>
                <w:sz w:val="20"/>
                <w:szCs w:val="20"/>
              </w:rPr>
            </w:pPr>
          </w:p>
        </w:tc>
        <w:tc>
          <w:tcPr>
            <w:tcW w:w="936"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vAlign w:val="center"/>
            <w:hideMark/>
          </w:tcPr>
          <w:p w:rsidR="00FE4C02" w:rsidRPr="0055557B" w:rsidRDefault="00FE4C02" w:rsidP="00C06F38">
            <w:pPr>
              <w:pStyle w:val="table10"/>
              <w:jc w:val="center"/>
            </w:pPr>
            <w:r w:rsidRPr="0055557B">
              <w:t>постоянно, более 2 раз в час</w:t>
            </w:r>
          </w:p>
        </w:tc>
        <w:tc>
          <w:tcPr>
            <w:tcW w:w="95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vAlign w:val="center"/>
            <w:hideMark/>
          </w:tcPr>
          <w:p w:rsidR="00FE4C02" w:rsidRPr="0055557B" w:rsidRDefault="00FE4C02" w:rsidP="00C06F38">
            <w:pPr>
              <w:pStyle w:val="table10"/>
              <w:jc w:val="center"/>
            </w:pPr>
            <w:r w:rsidRPr="0055557B">
              <w:t>при чередовании с другой работой, до 2 раз в час</w:t>
            </w:r>
          </w:p>
        </w:tc>
        <w:tc>
          <w:tcPr>
            <w:tcW w:w="95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vAlign w:val="center"/>
            <w:hideMark/>
          </w:tcPr>
          <w:p w:rsidR="00FE4C02" w:rsidRPr="0055557B" w:rsidRDefault="00FE4C02" w:rsidP="00C06F38">
            <w:pPr>
              <w:pStyle w:val="table10"/>
              <w:jc w:val="center"/>
            </w:pPr>
            <w:r w:rsidRPr="0055557B">
              <w:t>при подъеме с рабочей поверхности</w:t>
            </w:r>
          </w:p>
        </w:tc>
        <w:tc>
          <w:tcPr>
            <w:tcW w:w="894" w:type="pct"/>
            <w:tcBorders>
              <w:top w:val="single" w:sz="4" w:space="0" w:color="auto"/>
              <w:left w:val="single" w:sz="4" w:space="0" w:color="auto"/>
              <w:bottom w:val="single" w:sz="4" w:space="0" w:color="auto"/>
            </w:tcBorders>
            <w:shd w:val="clear" w:color="auto" w:fill="auto"/>
            <w:tcMar>
              <w:top w:w="0" w:type="dxa"/>
              <w:left w:w="6" w:type="dxa"/>
              <w:bottom w:w="0" w:type="dxa"/>
              <w:right w:w="6" w:type="dxa"/>
            </w:tcMar>
            <w:vAlign w:val="center"/>
            <w:hideMark/>
          </w:tcPr>
          <w:p w:rsidR="00FE4C02" w:rsidRPr="0055557B" w:rsidRDefault="00FE4C02" w:rsidP="00C06F38">
            <w:pPr>
              <w:pStyle w:val="table10"/>
              <w:jc w:val="center"/>
            </w:pPr>
            <w:r w:rsidRPr="0055557B">
              <w:t>при подъеме с пола</w:t>
            </w:r>
          </w:p>
        </w:tc>
      </w:tr>
      <w:tr w:rsidR="00FE4C02" w:rsidRPr="0055557B" w:rsidTr="00C06F38">
        <w:tc>
          <w:tcPr>
            <w:tcW w:w="5000" w:type="pct"/>
            <w:gridSpan w:val="5"/>
            <w:tcBorders>
              <w:top w:val="single" w:sz="4" w:space="0" w:color="auto"/>
              <w:bottom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pPr>
            <w:r w:rsidRPr="0055557B">
              <w:t>Несовершеннолетние женского пола</w:t>
            </w:r>
          </w:p>
        </w:tc>
      </w:tr>
      <w:tr w:rsidR="00FE4C02" w:rsidRPr="0055557B" w:rsidTr="00C06F38">
        <w:tc>
          <w:tcPr>
            <w:tcW w:w="1262" w:type="pct"/>
            <w:tcBorders>
              <w:top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14 лет</w:t>
            </w:r>
          </w:p>
        </w:tc>
        <w:tc>
          <w:tcPr>
            <w:tcW w:w="936"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3 кг</w:t>
            </w:r>
          </w:p>
        </w:tc>
        <w:tc>
          <w:tcPr>
            <w:tcW w:w="95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4 кг</w:t>
            </w:r>
          </w:p>
        </w:tc>
        <w:tc>
          <w:tcPr>
            <w:tcW w:w="95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180 кг</w:t>
            </w:r>
          </w:p>
        </w:tc>
        <w:tc>
          <w:tcPr>
            <w:tcW w:w="894" w:type="pct"/>
            <w:tcBorders>
              <w:top w:val="single" w:sz="4" w:space="0" w:color="auto"/>
              <w:left w:val="single" w:sz="4" w:space="0" w:color="auto"/>
              <w:bottom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90 кг</w:t>
            </w:r>
          </w:p>
        </w:tc>
      </w:tr>
      <w:tr w:rsidR="00FE4C02" w:rsidRPr="0055557B" w:rsidTr="00C06F38">
        <w:tc>
          <w:tcPr>
            <w:tcW w:w="1262" w:type="pct"/>
            <w:tcBorders>
              <w:top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15 лет</w:t>
            </w:r>
          </w:p>
        </w:tc>
        <w:tc>
          <w:tcPr>
            <w:tcW w:w="936"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4 кг</w:t>
            </w:r>
          </w:p>
        </w:tc>
        <w:tc>
          <w:tcPr>
            <w:tcW w:w="95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5 кг</w:t>
            </w:r>
          </w:p>
        </w:tc>
        <w:tc>
          <w:tcPr>
            <w:tcW w:w="95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200 кг</w:t>
            </w:r>
          </w:p>
        </w:tc>
        <w:tc>
          <w:tcPr>
            <w:tcW w:w="894" w:type="pct"/>
            <w:tcBorders>
              <w:top w:val="single" w:sz="4" w:space="0" w:color="auto"/>
              <w:left w:val="single" w:sz="4" w:space="0" w:color="auto"/>
              <w:bottom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100 кг</w:t>
            </w:r>
          </w:p>
        </w:tc>
      </w:tr>
      <w:tr w:rsidR="00FE4C02" w:rsidRPr="0055557B" w:rsidTr="00C06F38">
        <w:tc>
          <w:tcPr>
            <w:tcW w:w="1262" w:type="pct"/>
            <w:tcBorders>
              <w:top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16 лет</w:t>
            </w:r>
          </w:p>
        </w:tc>
        <w:tc>
          <w:tcPr>
            <w:tcW w:w="936"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5 кг</w:t>
            </w:r>
          </w:p>
        </w:tc>
        <w:tc>
          <w:tcPr>
            <w:tcW w:w="95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7 кг</w:t>
            </w:r>
          </w:p>
        </w:tc>
        <w:tc>
          <w:tcPr>
            <w:tcW w:w="95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400 кг</w:t>
            </w:r>
          </w:p>
        </w:tc>
        <w:tc>
          <w:tcPr>
            <w:tcW w:w="894" w:type="pct"/>
            <w:tcBorders>
              <w:top w:val="single" w:sz="4" w:space="0" w:color="auto"/>
              <w:left w:val="single" w:sz="4" w:space="0" w:color="auto"/>
              <w:bottom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200 кг</w:t>
            </w:r>
          </w:p>
        </w:tc>
      </w:tr>
      <w:tr w:rsidR="00FE4C02" w:rsidRPr="0055557B" w:rsidTr="00C06F38">
        <w:tc>
          <w:tcPr>
            <w:tcW w:w="1262" w:type="pct"/>
            <w:tcBorders>
              <w:top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17 лет</w:t>
            </w:r>
          </w:p>
        </w:tc>
        <w:tc>
          <w:tcPr>
            <w:tcW w:w="936"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6 кг</w:t>
            </w:r>
          </w:p>
        </w:tc>
        <w:tc>
          <w:tcPr>
            <w:tcW w:w="95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8 кг</w:t>
            </w:r>
          </w:p>
        </w:tc>
        <w:tc>
          <w:tcPr>
            <w:tcW w:w="95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500 кг</w:t>
            </w:r>
          </w:p>
        </w:tc>
        <w:tc>
          <w:tcPr>
            <w:tcW w:w="894" w:type="pct"/>
            <w:tcBorders>
              <w:top w:val="single" w:sz="4" w:space="0" w:color="auto"/>
              <w:left w:val="single" w:sz="4" w:space="0" w:color="auto"/>
              <w:bottom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250 кг</w:t>
            </w:r>
          </w:p>
        </w:tc>
      </w:tr>
      <w:tr w:rsidR="00FE4C02" w:rsidRPr="0055557B" w:rsidTr="00C06F38">
        <w:tc>
          <w:tcPr>
            <w:tcW w:w="5000" w:type="pct"/>
            <w:gridSpan w:val="5"/>
            <w:tcBorders>
              <w:top w:val="single" w:sz="4" w:space="0" w:color="auto"/>
              <w:bottom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pPr>
            <w:r w:rsidRPr="0055557B">
              <w:t>Несовершеннолетние мужского пола</w:t>
            </w:r>
          </w:p>
        </w:tc>
      </w:tr>
      <w:tr w:rsidR="00FE4C02" w:rsidRPr="0055557B" w:rsidTr="00C06F38">
        <w:tc>
          <w:tcPr>
            <w:tcW w:w="1262" w:type="pct"/>
            <w:tcBorders>
              <w:top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14 лет</w:t>
            </w:r>
          </w:p>
        </w:tc>
        <w:tc>
          <w:tcPr>
            <w:tcW w:w="936"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6 кг</w:t>
            </w:r>
          </w:p>
        </w:tc>
        <w:tc>
          <w:tcPr>
            <w:tcW w:w="95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10 кг</w:t>
            </w:r>
          </w:p>
        </w:tc>
        <w:tc>
          <w:tcPr>
            <w:tcW w:w="95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400 кг</w:t>
            </w:r>
          </w:p>
        </w:tc>
        <w:tc>
          <w:tcPr>
            <w:tcW w:w="894" w:type="pct"/>
            <w:tcBorders>
              <w:top w:val="single" w:sz="4" w:space="0" w:color="auto"/>
              <w:left w:val="single" w:sz="4" w:space="0" w:color="auto"/>
              <w:bottom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200 кг</w:t>
            </w:r>
          </w:p>
        </w:tc>
      </w:tr>
      <w:tr w:rsidR="00FE4C02" w:rsidRPr="0055557B" w:rsidTr="00C06F38">
        <w:tc>
          <w:tcPr>
            <w:tcW w:w="1262" w:type="pct"/>
            <w:tcBorders>
              <w:top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15 лет</w:t>
            </w:r>
          </w:p>
        </w:tc>
        <w:tc>
          <w:tcPr>
            <w:tcW w:w="936"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7 кг</w:t>
            </w:r>
          </w:p>
        </w:tc>
        <w:tc>
          <w:tcPr>
            <w:tcW w:w="95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12 кг</w:t>
            </w:r>
          </w:p>
        </w:tc>
        <w:tc>
          <w:tcPr>
            <w:tcW w:w="95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500 кг</w:t>
            </w:r>
          </w:p>
        </w:tc>
        <w:tc>
          <w:tcPr>
            <w:tcW w:w="894" w:type="pct"/>
            <w:tcBorders>
              <w:top w:val="single" w:sz="4" w:space="0" w:color="auto"/>
              <w:left w:val="single" w:sz="4" w:space="0" w:color="auto"/>
              <w:bottom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250 кг</w:t>
            </w:r>
          </w:p>
        </w:tc>
      </w:tr>
      <w:tr w:rsidR="00FE4C02" w:rsidRPr="0055557B" w:rsidTr="00C06F38">
        <w:tc>
          <w:tcPr>
            <w:tcW w:w="1262" w:type="pct"/>
            <w:tcBorders>
              <w:top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16 лет</w:t>
            </w:r>
          </w:p>
        </w:tc>
        <w:tc>
          <w:tcPr>
            <w:tcW w:w="936"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10 кг</w:t>
            </w:r>
          </w:p>
        </w:tc>
        <w:tc>
          <w:tcPr>
            <w:tcW w:w="95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16 кг</w:t>
            </w:r>
          </w:p>
        </w:tc>
        <w:tc>
          <w:tcPr>
            <w:tcW w:w="954" w:type="pct"/>
            <w:tcBorders>
              <w:top w:val="single" w:sz="4" w:space="0" w:color="auto"/>
              <w:left w:val="single" w:sz="4" w:space="0" w:color="auto"/>
              <w:bottom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900 кг</w:t>
            </w:r>
          </w:p>
        </w:tc>
        <w:tc>
          <w:tcPr>
            <w:tcW w:w="894" w:type="pct"/>
            <w:tcBorders>
              <w:top w:val="single" w:sz="4" w:space="0" w:color="auto"/>
              <w:left w:val="single" w:sz="4" w:space="0" w:color="auto"/>
              <w:bottom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450 кг</w:t>
            </w:r>
          </w:p>
        </w:tc>
      </w:tr>
      <w:tr w:rsidR="00FE4C02" w:rsidRPr="0055557B" w:rsidTr="00C06F38">
        <w:tc>
          <w:tcPr>
            <w:tcW w:w="1262" w:type="pct"/>
            <w:tcBorders>
              <w:top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17 лет</w:t>
            </w:r>
          </w:p>
        </w:tc>
        <w:tc>
          <w:tcPr>
            <w:tcW w:w="936" w:type="pct"/>
            <w:tcBorders>
              <w:top w:val="single" w:sz="4" w:space="0" w:color="auto"/>
              <w:left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12 кг</w:t>
            </w:r>
          </w:p>
        </w:tc>
        <w:tc>
          <w:tcPr>
            <w:tcW w:w="954" w:type="pct"/>
            <w:tcBorders>
              <w:top w:val="single" w:sz="4" w:space="0" w:color="auto"/>
              <w:left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18 кг</w:t>
            </w:r>
          </w:p>
        </w:tc>
        <w:tc>
          <w:tcPr>
            <w:tcW w:w="954" w:type="pct"/>
            <w:tcBorders>
              <w:top w:val="single" w:sz="4" w:space="0" w:color="auto"/>
              <w:left w:val="single" w:sz="4" w:space="0" w:color="auto"/>
              <w:righ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1400 кг</w:t>
            </w:r>
          </w:p>
        </w:tc>
        <w:tc>
          <w:tcPr>
            <w:tcW w:w="894" w:type="pct"/>
            <w:tcBorders>
              <w:top w:val="single" w:sz="4" w:space="0" w:color="auto"/>
              <w:left w:val="single" w:sz="4" w:space="0" w:color="auto"/>
            </w:tcBorders>
            <w:shd w:val="clear" w:color="auto" w:fill="auto"/>
            <w:tcMar>
              <w:top w:w="0" w:type="dxa"/>
              <w:left w:w="6" w:type="dxa"/>
              <w:bottom w:w="0" w:type="dxa"/>
              <w:right w:w="6" w:type="dxa"/>
            </w:tcMar>
            <w:hideMark/>
          </w:tcPr>
          <w:p w:rsidR="00FE4C02" w:rsidRPr="0055557B" w:rsidRDefault="00FE4C02" w:rsidP="00C06F38">
            <w:pPr>
              <w:pStyle w:val="table10"/>
              <w:jc w:val="center"/>
            </w:pPr>
            <w:r w:rsidRPr="0055557B">
              <w:t>700 кг</w:t>
            </w:r>
          </w:p>
        </w:tc>
      </w:tr>
    </w:tbl>
    <w:p w:rsidR="00FE4C02" w:rsidRDefault="00FE4C02" w:rsidP="00FE4C02">
      <w:pPr>
        <w:pStyle w:val="snoskiline"/>
      </w:pPr>
      <w:r>
        <w:t>______________________________</w:t>
      </w:r>
    </w:p>
    <w:p w:rsidR="00FE4C02" w:rsidRDefault="00FE4C02" w:rsidP="00FE4C02">
      <w:pPr>
        <w:pStyle w:val="snoski"/>
        <w:spacing w:after="240"/>
      </w:pPr>
      <w:r>
        <w:t>*С учетом массы тары и упаковки.</w:t>
      </w:r>
    </w:p>
    <w:p w:rsidR="00FE4C02" w:rsidRPr="00FE4C02" w:rsidRDefault="00FE4C02" w:rsidP="00FE4C02">
      <w:pPr>
        <w:pStyle w:val="a4"/>
        <w:shd w:val="clear" w:color="auto" w:fill="FFFFFF"/>
        <w:spacing w:before="0" w:beforeAutospacing="0" w:after="384" w:afterAutospacing="0"/>
        <w:ind w:firstLine="567"/>
        <w:jc w:val="both"/>
        <w:textAlignment w:val="baseline"/>
        <w:rPr>
          <w:sz w:val="28"/>
          <w:szCs w:val="28"/>
        </w:rPr>
      </w:pPr>
      <w:r w:rsidRPr="00FE4C02">
        <w:rPr>
          <w:sz w:val="28"/>
          <w:szCs w:val="28"/>
        </w:rPr>
        <w:lastRenderedPageBreak/>
        <w:t>Так же при выполнении работ несовершеннолетними учащимися необходимо руководствоваться нормами постановления Министерства труда и социальной защиты Республики Беларусь от 27.06.2013 г. «Об установлении списка работ, на которых запрещается применение труда лиц моложе восемнадцати лет».</w:t>
      </w:r>
    </w:p>
    <w:p w:rsidR="00FE4C02" w:rsidRPr="00FE4C02" w:rsidRDefault="00FE4C02" w:rsidP="00FE4C02">
      <w:pPr>
        <w:pStyle w:val="a4"/>
        <w:shd w:val="clear" w:color="auto" w:fill="FFFFFF"/>
        <w:spacing w:before="0" w:beforeAutospacing="0" w:after="384" w:afterAutospacing="0"/>
        <w:ind w:firstLine="567"/>
        <w:jc w:val="both"/>
        <w:textAlignment w:val="baseline"/>
        <w:rPr>
          <w:sz w:val="28"/>
          <w:szCs w:val="28"/>
        </w:rPr>
      </w:pPr>
      <w:r w:rsidRPr="00FE4C02">
        <w:rPr>
          <w:sz w:val="28"/>
          <w:szCs w:val="28"/>
        </w:rPr>
        <w:t>Подбор видов работ для студенческих отрядов, в состав которых входят учащиеся профессионально-технического и среднего специального образования, студенты, по возможности осуществляется с учетом профиля их подготовки.</w:t>
      </w:r>
    </w:p>
    <w:p w:rsidR="00FE4C02" w:rsidRPr="00FE4C02" w:rsidRDefault="00FE4C02" w:rsidP="00FE4C02">
      <w:pPr>
        <w:pStyle w:val="a4"/>
        <w:shd w:val="clear" w:color="auto" w:fill="FFFFFF"/>
        <w:spacing w:before="0" w:beforeAutospacing="0" w:after="0" w:afterAutospacing="0"/>
        <w:ind w:firstLine="567"/>
        <w:jc w:val="both"/>
        <w:textAlignment w:val="baseline"/>
        <w:rPr>
          <w:sz w:val="28"/>
          <w:szCs w:val="28"/>
        </w:rPr>
      </w:pPr>
      <w:r w:rsidRPr="00FE4C02">
        <w:rPr>
          <w:sz w:val="28"/>
          <w:szCs w:val="28"/>
        </w:rPr>
        <w:t>Для работников моложе 18 лет установлена сокращенная продолжительность рабочего времени: в возрасте от 14 до 16 лет – не более 23 часов в неделю, а от 16 до 18 лет – не более 35 часов в неделю (статья 114 ТК).</w:t>
      </w:r>
    </w:p>
    <w:p w:rsidR="00FE4C02" w:rsidRPr="00FE4C02" w:rsidRDefault="00FE4C02" w:rsidP="00FE4C02">
      <w:pPr>
        <w:pStyle w:val="a4"/>
        <w:shd w:val="clear" w:color="auto" w:fill="FFFFFF"/>
        <w:spacing w:before="0" w:beforeAutospacing="0" w:after="384" w:afterAutospacing="0"/>
        <w:ind w:firstLine="567"/>
        <w:jc w:val="both"/>
        <w:textAlignment w:val="baseline"/>
        <w:rPr>
          <w:sz w:val="28"/>
          <w:szCs w:val="28"/>
        </w:rPr>
      </w:pPr>
      <w:r w:rsidRPr="00FE4C02">
        <w:rPr>
          <w:sz w:val="28"/>
          <w:szCs w:val="28"/>
        </w:rPr>
        <w:t>Вести учет рабочего времени указанных работников необходимо по аналогии с требованиями, распространенными на основных работников.</w:t>
      </w:r>
    </w:p>
    <w:p w:rsidR="00FE4C02" w:rsidRPr="0043727A" w:rsidRDefault="00FE4C02" w:rsidP="00FE4C02">
      <w:pPr>
        <w:pStyle w:val="a4"/>
        <w:shd w:val="clear" w:color="auto" w:fill="FFFFFF"/>
        <w:spacing w:before="0" w:beforeAutospacing="0" w:after="384" w:afterAutospacing="0"/>
        <w:ind w:firstLine="708"/>
        <w:jc w:val="both"/>
        <w:textAlignment w:val="baseline"/>
        <w:rPr>
          <w:sz w:val="28"/>
          <w:szCs w:val="28"/>
        </w:rPr>
      </w:pPr>
      <w:r w:rsidRPr="00FE4C02">
        <w:rPr>
          <w:sz w:val="28"/>
          <w:szCs w:val="28"/>
        </w:rPr>
        <w:t>Направляющие организации обеспечивают обучение участников студенческого отряда основам законодательства о труде, в том числе законодательства об охране труда, проведение инструктажей по предстоящей деятельности.</w:t>
      </w:r>
    </w:p>
    <w:p w:rsidR="00FE4C02" w:rsidRDefault="00262757" w:rsidP="00FE4C02">
      <w:pPr>
        <w:spacing w:line="240" w:lineRule="auto"/>
        <w:ind w:firstLine="708"/>
        <w:jc w:val="both"/>
        <w:rPr>
          <w:rFonts w:ascii="Times New Roman" w:eastAsia="Times New Roman" w:hAnsi="Times New Roman" w:cs="Times New Roman"/>
          <w:sz w:val="28"/>
          <w:szCs w:val="28"/>
        </w:rPr>
      </w:pPr>
      <w:r w:rsidRPr="0043727A">
        <w:rPr>
          <w:rFonts w:ascii="Times New Roman" w:eastAsia="Times New Roman" w:hAnsi="Times New Roman" w:cs="Times New Roman"/>
          <w:sz w:val="28"/>
          <w:szCs w:val="28"/>
        </w:rPr>
        <w:t>Между направляющей студенческий отряд организацией и принимающей организацией заключается договор, определяющий условия деятельности студенческого отряда с учетом требований законодательства о труде и об охране труда, а также обязательства принимающей организации по обеспечению условий размещения, питания, оплаты труда участников студенческого отряда (ч. 1 подп. 1.8 п.1 Указа).</w:t>
      </w:r>
    </w:p>
    <w:p w:rsidR="009F2B5B" w:rsidRPr="009F2B5B" w:rsidRDefault="00FE4C02" w:rsidP="00FE4C02">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r w:rsidR="00262757" w:rsidRPr="0043727A">
        <w:rPr>
          <w:rFonts w:ascii="Times New Roman" w:eastAsia="Times New Roman" w:hAnsi="Times New Roman" w:cs="Times New Roman"/>
          <w:sz w:val="28"/>
          <w:szCs w:val="28"/>
        </w:rPr>
        <w:t>Согласно п.15 Инструкции о порядке организации и деятельности студенческих организаций, утв.</w:t>
      </w:r>
      <w:r>
        <w:rPr>
          <w:rFonts w:ascii="Times New Roman" w:eastAsia="Times New Roman" w:hAnsi="Times New Roman" w:cs="Times New Roman"/>
          <w:sz w:val="28"/>
          <w:szCs w:val="28"/>
        </w:rPr>
        <w:t xml:space="preserve"> </w:t>
      </w:r>
      <w:r w:rsidR="00262757" w:rsidRPr="0043727A">
        <w:rPr>
          <w:rFonts w:ascii="Times New Roman" w:eastAsia="Times New Roman" w:hAnsi="Times New Roman" w:cs="Times New Roman"/>
          <w:sz w:val="28"/>
          <w:szCs w:val="28"/>
        </w:rPr>
        <w:t>постановлением Министерства образования Республики Беларусь 07.06.2012 №60 (далее – Инструкция), принимающая организация обязана обеспечить для студенческого отряда соответствующие договору объекты и виды работ и создать на каждом рабочем месте здоро</w:t>
      </w:r>
      <w:r w:rsidR="009F2B5B">
        <w:rPr>
          <w:rFonts w:ascii="Times New Roman" w:eastAsia="Times New Roman" w:hAnsi="Times New Roman" w:cs="Times New Roman"/>
          <w:sz w:val="28"/>
          <w:szCs w:val="28"/>
        </w:rPr>
        <w:t xml:space="preserve">вые и безопасные условия труда </w:t>
      </w:r>
      <w:r w:rsidR="009F2B5B" w:rsidRPr="0043727A">
        <w:rPr>
          <w:rFonts w:ascii="Times New Roman" w:hAnsi="Times New Roman" w:cs="Times New Roman"/>
          <w:sz w:val="28"/>
          <w:szCs w:val="28"/>
        </w:rPr>
        <w:t>(наличие ограждений на границах опасных зон (перепадов высот), предоставление для выполнения работ исправного инструмента и оснастки, ознакомление работников под роспись с проектом производства работ, инструкциями по эксплуатации оборудования (если таковое будет применяться)</w:t>
      </w:r>
      <w:r w:rsidR="009F2B5B">
        <w:rPr>
          <w:rFonts w:ascii="Times New Roman" w:hAnsi="Times New Roman" w:cs="Times New Roman"/>
          <w:sz w:val="28"/>
          <w:szCs w:val="28"/>
        </w:rPr>
        <w:t>.</w:t>
      </w:r>
    </w:p>
    <w:p w:rsidR="009F2B5B" w:rsidRPr="0043727A" w:rsidRDefault="009F2B5B" w:rsidP="009F2B5B">
      <w:pPr>
        <w:pStyle w:val="a4"/>
        <w:shd w:val="clear" w:color="auto" w:fill="FFFFFF"/>
        <w:spacing w:after="384"/>
        <w:ind w:firstLine="708"/>
        <w:jc w:val="both"/>
        <w:textAlignment w:val="baseline"/>
        <w:rPr>
          <w:sz w:val="28"/>
          <w:szCs w:val="28"/>
        </w:rPr>
      </w:pPr>
      <w:r w:rsidRPr="0043727A">
        <w:rPr>
          <w:sz w:val="28"/>
          <w:szCs w:val="28"/>
        </w:rPr>
        <w:t>Участник студенческого отряда подлежит обязательному страхованию от несчастных случаев на производстве и профессиональных заболеваний в соответствии с Указом Президента Республики Беларусь от 25.08.2006 г. № 530 «О страховой деятельности».</w:t>
      </w:r>
    </w:p>
    <w:p w:rsidR="009F2B5B" w:rsidRPr="0043727A" w:rsidRDefault="009F2B5B" w:rsidP="009F2B5B">
      <w:pPr>
        <w:pStyle w:val="a4"/>
        <w:shd w:val="clear" w:color="auto" w:fill="FFFFFF"/>
        <w:spacing w:after="384"/>
        <w:ind w:firstLine="708"/>
        <w:jc w:val="both"/>
        <w:textAlignment w:val="baseline"/>
        <w:rPr>
          <w:sz w:val="28"/>
          <w:szCs w:val="28"/>
        </w:rPr>
      </w:pPr>
      <w:r w:rsidRPr="0043727A">
        <w:rPr>
          <w:sz w:val="28"/>
          <w:szCs w:val="28"/>
        </w:rPr>
        <w:t>Расследование несчастных случаев на производстве, произошедших с участниками отряда, проводится в соответствии с Правилами расследования и учета несчастных случаев на производстве и профессиональных заболеваний, утвержденными постановлением Совета Министров Республики Беларусь от 15.01.2004 г. № 30 «О расследовании и учете несчастных случаев на производстве и профессиональных заболеваний».</w:t>
      </w:r>
    </w:p>
    <w:p w:rsidR="009F2B5B" w:rsidRDefault="009F2B5B" w:rsidP="009F2B5B">
      <w:pPr>
        <w:pStyle w:val="a4"/>
        <w:shd w:val="clear" w:color="auto" w:fill="FFFFFF"/>
        <w:spacing w:before="0" w:beforeAutospacing="0" w:after="384" w:afterAutospacing="0"/>
        <w:ind w:firstLine="708"/>
        <w:jc w:val="both"/>
        <w:textAlignment w:val="baseline"/>
        <w:rPr>
          <w:sz w:val="28"/>
          <w:szCs w:val="28"/>
        </w:rPr>
      </w:pPr>
      <w:r w:rsidRPr="0043727A">
        <w:rPr>
          <w:sz w:val="28"/>
          <w:szCs w:val="28"/>
        </w:rPr>
        <w:lastRenderedPageBreak/>
        <w:t xml:space="preserve">Студенческий отряд должен быть обеспечен лекарственными средствами и изделиями медицинского назначения согласно перечню вложений, входящих в аптечку первой медицинской помощи медицинского работника студенческого отряда, детских оздоровительных лагерей, утвержденному постановлением Министерства здравоохранения Республики Беларусь от 04.12.2014 г.  №  80 «Об установлении перечней аптечек первой помощи, аптечек скорой медицинской помощи, вложений, входящих в эти аптечки, и определении порядка их комплектации» </w:t>
      </w:r>
      <w:r w:rsidR="001D5A22">
        <w:rPr>
          <w:sz w:val="28"/>
          <w:szCs w:val="28"/>
        </w:rPr>
        <w:t>(</w:t>
      </w:r>
      <w:r w:rsidRPr="0043727A">
        <w:rPr>
          <w:sz w:val="28"/>
          <w:szCs w:val="28"/>
        </w:rPr>
        <w:t>с изменениями и дополнениями).</w:t>
      </w:r>
    </w:p>
    <w:p w:rsidR="009F2B5B" w:rsidRDefault="009F2B5B" w:rsidP="009F2B5B">
      <w:pPr>
        <w:pStyle w:val="a4"/>
        <w:shd w:val="clear" w:color="auto" w:fill="FFFFFF"/>
        <w:spacing w:before="0" w:beforeAutospacing="0" w:after="384" w:afterAutospacing="0"/>
        <w:ind w:firstLine="708"/>
        <w:jc w:val="both"/>
        <w:textAlignment w:val="baseline"/>
        <w:rPr>
          <w:sz w:val="28"/>
          <w:szCs w:val="28"/>
        </w:rPr>
      </w:pPr>
      <w:r>
        <w:rPr>
          <w:sz w:val="28"/>
          <w:szCs w:val="28"/>
        </w:rPr>
        <w:t> </w:t>
      </w:r>
      <w:r w:rsidR="00262757" w:rsidRPr="0043727A">
        <w:rPr>
          <w:sz w:val="28"/>
          <w:szCs w:val="28"/>
        </w:rPr>
        <w:t>Участники студенческого отряда, поступающие на работу, связанную с воздействием вредных и (или) опасных факторов производственной среды, с учетом показателей тяжести и напряженности трудового процесса в установленном порядке проходят медицинские осмотры. Несовершеннолетние участники студенческих отрядов проходят предварительный медицинский осмотр вне зависимости от воздействия вредных (опасных) факторов производственной среды (часть первая ст.275 ТК).</w:t>
      </w:r>
    </w:p>
    <w:p w:rsidR="009F2B5B" w:rsidRDefault="00262757" w:rsidP="00FE4C02">
      <w:pPr>
        <w:spacing w:after="0" w:line="240" w:lineRule="auto"/>
        <w:ind w:firstLine="708"/>
        <w:jc w:val="both"/>
        <w:rPr>
          <w:rFonts w:ascii="Times New Roman" w:eastAsia="Times New Roman" w:hAnsi="Times New Roman" w:cs="Times New Roman"/>
          <w:sz w:val="28"/>
          <w:szCs w:val="28"/>
        </w:rPr>
      </w:pPr>
      <w:r w:rsidRPr="0043727A">
        <w:rPr>
          <w:rFonts w:ascii="Times New Roman" w:eastAsia="Times New Roman" w:hAnsi="Times New Roman" w:cs="Times New Roman"/>
          <w:sz w:val="28"/>
          <w:szCs w:val="28"/>
        </w:rPr>
        <w:t>С каждым из участников студенческих отрядов принимающая организация заключает трудовой (в определенных случаях - гражданско-правовой) договор, в установленном порядке проводит обучение</w:t>
      </w:r>
      <w:r w:rsidR="009843F4" w:rsidRPr="0043727A">
        <w:rPr>
          <w:rFonts w:ascii="Times New Roman" w:hAnsi="Times New Roman" w:cs="Times New Roman"/>
          <w:sz w:val="28"/>
          <w:szCs w:val="28"/>
        </w:rPr>
        <w:t xml:space="preserve"> безопасным методам и приемам работы</w:t>
      </w:r>
      <w:r w:rsidRPr="0043727A">
        <w:rPr>
          <w:rFonts w:ascii="Times New Roman" w:eastAsia="Times New Roman" w:hAnsi="Times New Roman" w:cs="Times New Roman"/>
          <w:sz w:val="28"/>
          <w:szCs w:val="28"/>
        </w:rPr>
        <w:t>,</w:t>
      </w:r>
      <w:r w:rsidR="009F2B5B">
        <w:rPr>
          <w:sz w:val="28"/>
          <w:szCs w:val="28"/>
        </w:rPr>
        <w:t xml:space="preserve"> </w:t>
      </w:r>
      <w:r w:rsidR="009843F4" w:rsidRPr="0043727A">
        <w:rPr>
          <w:rFonts w:ascii="Times New Roman" w:eastAsia="Times New Roman" w:hAnsi="Times New Roman" w:cs="Times New Roman"/>
          <w:sz w:val="28"/>
          <w:szCs w:val="28"/>
        </w:rPr>
        <w:t>стажировку,</w:t>
      </w:r>
      <w:r w:rsidRPr="0043727A">
        <w:rPr>
          <w:rFonts w:ascii="Times New Roman" w:eastAsia="Times New Roman" w:hAnsi="Times New Roman" w:cs="Times New Roman"/>
          <w:sz w:val="28"/>
          <w:szCs w:val="28"/>
        </w:rPr>
        <w:t xml:space="preserve"> инструктаж и проверку знаний по вопросам охраны труда (п. 32 Инструкции о порядке обучения, стажировки, инструктажа и проверки знаний работающих по вопросам охраны труда, утв. постановлением Министерства труда и социальной защиты Республики Беларусь 28.11.2008 № 175), а также в обязательном порядке обеспечивает молодых граждан средствами индивидуальной защиты (п.25 Инструкции). </w:t>
      </w:r>
    </w:p>
    <w:p w:rsidR="009F2B5B" w:rsidRPr="0043727A" w:rsidRDefault="009F2B5B" w:rsidP="00FE4C02">
      <w:pPr>
        <w:spacing w:line="240" w:lineRule="auto"/>
        <w:ind w:firstLine="708"/>
        <w:jc w:val="both"/>
        <w:rPr>
          <w:rFonts w:ascii="Times New Roman" w:eastAsia="Times New Roman" w:hAnsi="Times New Roman" w:cs="Times New Roman"/>
          <w:i/>
          <w:sz w:val="28"/>
          <w:szCs w:val="28"/>
        </w:rPr>
      </w:pPr>
      <w:r w:rsidRPr="0043727A">
        <w:rPr>
          <w:rFonts w:ascii="Times New Roman" w:eastAsia="Times New Roman" w:hAnsi="Times New Roman" w:cs="Times New Roman"/>
          <w:i/>
          <w:sz w:val="28"/>
          <w:szCs w:val="28"/>
        </w:rPr>
        <w:t>Справочно:</w:t>
      </w:r>
    </w:p>
    <w:p w:rsidR="009F2B5B" w:rsidRPr="0043727A" w:rsidRDefault="009F2B5B" w:rsidP="00FE4C02">
      <w:pPr>
        <w:spacing w:after="0" w:line="240" w:lineRule="auto"/>
        <w:ind w:firstLine="708"/>
        <w:jc w:val="both"/>
        <w:rPr>
          <w:rFonts w:ascii="Times New Roman" w:eastAsia="Times New Roman" w:hAnsi="Times New Roman" w:cs="Times New Roman"/>
          <w:i/>
          <w:sz w:val="28"/>
          <w:szCs w:val="28"/>
        </w:rPr>
      </w:pPr>
      <w:r w:rsidRPr="0043727A">
        <w:rPr>
          <w:rFonts w:ascii="Times New Roman" w:eastAsia="Times New Roman" w:hAnsi="Times New Roman" w:cs="Times New Roman"/>
          <w:i/>
          <w:sz w:val="28"/>
          <w:szCs w:val="28"/>
        </w:rPr>
        <w:t>Вводный инструктаж проводит инженер по охране труда или специалист принимающей организации, на которого возложены эти обязанности (п. 47 Инструкции). Первичный инструктаж по охране труда на рабочем месте проводит руководитель работ при участии руководителя или специалиста организации, на территории которой проводятся работы (п. 50 Инструкции), проводится он индивидуально с практическим показом безопасных приемов и методов труда (п. 51 Инструкции). Вводный и первичный инструктаж на рабочем месте проводятся по утвержденной руководителем принимающей организации программе. Проведение вводного инструктажа регистрируется в журнале регистрации вводного инструктажа по охране труда (п. 47 Инструкции), а проведение первичного инструктажа по охране труда на рабочем месте (по профессии и видам выполняемых работ) – в журнале регистрации инструктажа по охране труда (п. 53 Инструкции).</w:t>
      </w:r>
    </w:p>
    <w:p w:rsidR="009F2B5B" w:rsidRPr="0043727A" w:rsidRDefault="009F2B5B" w:rsidP="00FE4C02">
      <w:pPr>
        <w:spacing w:after="0" w:line="240" w:lineRule="auto"/>
        <w:ind w:firstLine="708"/>
        <w:jc w:val="both"/>
        <w:rPr>
          <w:rFonts w:ascii="Times New Roman" w:eastAsia="Times New Roman" w:hAnsi="Times New Roman" w:cs="Times New Roman"/>
          <w:i/>
          <w:sz w:val="28"/>
          <w:szCs w:val="28"/>
        </w:rPr>
      </w:pPr>
      <w:r w:rsidRPr="0043727A">
        <w:rPr>
          <w:rFonts w:ascii="Times New Roman" w:eastAsia="Times New Roman" w:hAnsi="Times New Roman" w:cs="Times New Roman"/>
          <w:i/>
          <w:sz w:val="28"/>
          <w:szCs w:val="28"/>
        </w:rPr>
        <w:t>Наниматель должен контролировать не только выдачу СИЗ, но и их применение и не допускать к выполнению работ без наличия у работника требуемой по нормам специальной одежды и обуви, других средств индивидуальной защиты.</w:t>
      </w:r>
    </w:p>
    <w:p w:rsidR="009F2B5B" w:rsidRDefault="009F2B5B" w:rsidP="009F2B5B">
      <w:pPr>
        <w:spacing w:after="0" w:line="240" w:lineRule="auto"/>
        <w:ind w:firstLine="708"/>
        <w:jc w:val="both"/>
        <w:rPr>
          <w:rFonts w:ascii="Times New Roman" w:eastAsia="Times New Roman" w:hAnsi="Times New Roman" w:cs="Times New Roman"/>
          <w:sz w:val="28"/>
          <w:szCs w:val="28"/>
        </w:rPr>
      </w:pPr>
    </w:p>
    <w:p w:rsidR="0043727A" w:rsidRPr="0043727A" w:rsidRDefault="0043727A" w:rsidP="009F2B5B">
      <w:pPr>
        <w:spacing w:line="240" w:lineRule="auto"/>
        <w:ind w:firstLine="708"/>
        <w:jc w:val="both"/>
        <w:rPr>
          <w:rFonts w:ascii="Times New Roman" w:eastAsia="Times New Roman" w:hAnsi="Times New Roman" w:cs="Times New Roman"/>
          <w:sz w:val="28"/>
          <w:szCs w:val="28"/>
        </w:rPr>
      </w:pPr>
      <w:r w:rsidRPr="0043727A">
        <w:rPr>
          <w:rFonts w:ascii="Times New Roman" w:eastAsia="Times New Roman" w:hAnsi="Times New Roman" w:cs="Times New Roman"/>
          <w:sz w:val="28"/>
          <w:szCs w:val="28"/>
        </w:rPr>
        <w:t>Заключая с участником студенческого отряда трудовой договор, нанимателю не стоит забывать о том, что согласно части второй ст.26 Трудового кодекса Республики Беларусь запрещен прием на работу граждан без наличия у них документов об обучении, подтверждающих право на выполнение той или иной работы. </w:t>
      </w:r>
    </w:p>
    <w:p w:rsidR="00262757" w:rsidRPr="009436A3" w:rsidRDefault="001D5A22" w:rsidP="001D5A22">
      <w:pPr>
        <w:pStyle w:val="a4"/>
        <w:shd w:val="clear" w:color="auto" w:fill="FFFFFF"/>
        <w:spacing w:before="0" w:beforeAutospacing="0" w:after="384" w:afterAutospacing="0"/>
        <w:ind w:left="4956"/>
        <w:jc w:val="both"/>
        <w:textAlignment w:val="baseline"/>
        <w:rPr>
          <w:sz w:val="22"/>
          <w:szCs w:val="22"/>
        </w:rPr>
      </w:pPr>
      <w:r w:rsidRPr="009436A3">
        <w:rPr>
          <w:sz w:val="22"/>
          <w:szCs w:val="22"/>
        </w:rPr>
        <w:t>Главный специалист управления по труду, занятости и социальной защите Пинского горисполкома</w:t>
      </w:r>
    </w:p>
    <w:sectPr w:rsidR="00262757" w:rsidRPr="009436A3" w:rsidSect="001D5A22">
      <w:headerReference w:type="default" r:id="rId7"/>
      <w:pgSz w:w="11906" w:h="16838"/>
      <w:pgMar w:top="390" w:right="424" w:bottom="567" w:left="567" w:header="284"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866" w:rsidRDefault="00271866" w:rsidP="001D5A22">
      <w:pPr>
        <w:spacing w:after="0" w:line="240" w:lineRule="auto"/>
      </w:pPr>
      <w:r>
        <w:separator/>
      </w:r>
    </w:p>
  </w:endnote>
  <w:endnote w:type="continuationSeparator" w:id="1">
    <w:p w:rsidR="00271866" w:rsidRDefault="00271866" w:rsidP="001D5A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866" w:rsidRDefault="00271866" w:rsidP="001D5A22">
      <w:pPr>
        <w:spacing w:after="0" w:line="240" w:lineRule="auto"/>
      </w:pPr>
      <w:r>
        <w:separator/>
      </w:r>
    </w:p>
  </w:footnote>
  <w:footnote w:type="continuationSeparator" w:id="1">
    <w:p w:rsidR="00271866" w:rsidRDefault="00271866" w:rsidP="001D5A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992360"/>
      <w:docPartObj>
        <w:docPartGallery w:val="Page Numbers (Top of Page)"/>
        <w:docPartUnique/>
      </w:docPartObj>
    </w:sdtPr>
    <w:sdtContent>
      <w:p w:rsidR="001D5A22" w:rsidRDefault="00892901">
        <w:pPr>
          <w:pStyle w:val="a5"/>
          <w:jc w:val="center"/>
        </w:pPr>
        <w:fldSimple w:instr=" PAGE   \* MERGEFORMAT ">
          <w:r w:rsidR="009436A3">
            <w:rPr>
              <w:noProof/>
            </w:rPr>
            <w:t>3</w:t>
          </w:r>
        </w:fldSimple>
      </w:p>
    </w:sdtContent>
  </w:sdt>
  <w:p w:rsidR="001D5A22" w:rsidRDefault="001D5A2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2462F3"/>
    <w:multiLevelType w:val="multilevel"/>
    <w:tmpl w:val="5EE28D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521D7"/>
    <w:rsid w:val="0004232F"/>
    <w:rsid w:val="001D5A22"/>
    <w:rsid w:val="00262757"/>
    <w:rsid w:val="00271866"/>
    <w:rsid w:val="0043727A"/>
    <w:rsid w:val="004A4CB2"/>
    <w:rsid w:val="005F5337"/>
    <w:rsid w:val="006A048C"/>
    <w:rsid w:val="007D724A"/>
    <w:rsid w:val="008521D7"/>
    <w:rsid w:val="00892901"/>
    <w:rsid w:val="009436A3"/>
    <w:rsid w:val="009843F4"/>
    <w:rsid w:val="009A4C58"/>
    <w:rsid w:val="009F2B5B"/>
    <w:rsid w:val="00BF0985"/>
    <w:rsid w:val="00C03CF9"/>
    <w:rsid w:val="00D870B7"/>
    <w:rsid w:val="00E90271"/>
    <w:rsid w:val="00F4728A"/>
    <w:rsid w:val="00FA5A0C"/>
    <w:rsid w:val="00FE4C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32F"/>
  </w:style>
  <w:style w:type="paragraph" w:styleId="1">
    <w:name w:val="heading 1"/>
    <w:basedOn w:val="a"/>
    <w:link w:val="10"/>
    <w:uiPriority w:val="9"/>
    <w:qFormat/>
    <w:rsid w:val="009A4C5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4C58"/>
    <w:rPr>
      <w:rFonts w:ascii="Times New Roman" w:eastAsia="Times New Roman" w:hAnsi="Times New Roman" w:cs="Times New Roman"/>
      <w:b/>
      <w:bCs/>
      <w:kern w:val="36"/>
      <w:sz w:val="48"/>
      <w:szCs w:val="48"/>
    </w:rPr>
  </w:style>
  <w:style w:type="paragraph" w:customStyle="1" w:styleId="newncpi">
    <w:name w:val="newncpi"/>
    <w:basedOn w:val="a"/>
    <w:rsid w:val="00F4728A"/>
    <w:pPr>
      <w:spacing w:after="0" w:line="240" w:lineRule="auto"/>
      <w:ind w:firstLine="567"/>
      <w:jc w:val="both"/>
    </w:pPr>
    <w:rPr>
      <w:rFonts w:ascii="Times New Roman" w:eastAsia="Times New Roman" w:hAnsi="Times New Roman" w:cs="Times New Roman"/>
      <w:sz w:val="24"/>
      <w:szCs w:val="24"/>
    </w:rPr>
  </w:style>
  <w:style w:type="paragraph" w:customStyle="1" w:styleId="newncpi0">
    <w:name w:val="newncpi0"/>
    <w:basedOn w:val="a"/>
    <w:rsid w:val="00F4728A"/>
    <w:pPr>
      <w:spacing w:after="0" w:line="240" w:lineRule="auto"/>
      <w:jc w:val="both"/>
    </w:pPr>
    <w:rPr>
      <w:rFonts w:ascii="Times New Roman" w:eastAsia="Times New Roman" w:hAnsi="Times New Roman" w:cs="Times New Roman"/>
      <w:sz w:val="24"/>
      <w:szCs w:val="24"/>
    </w:rPr>
  </w:style>
  <w:style w:type="character" w:customStyle="1" w:styleId="name">
    <w:name w:val="name"/>
    <w:rsid w:val="00F4728A"/>
    <w:rPr>
      <w:rFonts w:ascii="Times New Roman" w:hAnsi="Times New Roman" w:cs="Times New Roman" w:hint="default"/>
      <w:caps/>
    </w:rPr>
  </w:style>
  <w:style w:type="character" w:customStyle="1" w:styleId="promulgator">
    <w:name w:val="promulgator"/>
    <w:rsid w:val="00F4728A"/>
    <w:rPr>
      <w:rFonts w:ascii="Times New Roman" w:hAnsi="Times New Roman" w:cs="Times New Roman" w:hint="default"/>
      <w:caps/>
    </w:rPr>
  </w:style>
  <w:style w:type="character" w:customStyle="1" w:styleId="datepr">
    <w:name w:val="datepr"/>
    <w:rsid w:val="00F4728A"/>
    <w:rPr>
      <w:rFonts w:ascii="Times New Roman" w:hAnsi="Times New Roman" w:cs="Times New Roman" w:hint="default"/>
    </w:rPr>
  </w:style>
  <w:style w:type="character" w:customStyle="1" w:styleId="number">
    <w:name w:val="number"/>
    <w:rsid w:val="00F4728A"/>
    <w:rPr>
      <w:rFonts w:ascii="Times New Roman" w:hAnsi="Times New Roman" w:cs="Times New Roman" w:hint="default"/>
    </w:rPr>
  </w:style>
  <w:style w:type="paragraph" w:customStyle="1" w:styleId="titlep">
    <w:name w:val="titlep"/>
    <w:basedOn w:val="a"/>
    <w:rsid w:val="00F4728A"/>
    <w:pPr>
      <w:spacing w:before="240" w:after="240" w:line="240" w:lineRule="auto"/>
      <w:jc w:val="center"/>
    </w:pPr>
    <w:rPr>
      <w:rFonts w:ascii="Times New Roman" w:eastAsia="Times New Roman" w:hAnsi="Times New Roman" w:cs="Times New Roman"/>
      <w:b/>
      <w:bCs/>
      <w:sz w:val="24"/>
      <w:szCs w:val="24"/>
    </w:rPr>
  </w:style>
  <w:style w:type="paragraph" w:customStyle="1" w:styleId="snoski">
    <w:name w:val="snoski"/>
    <w:basedOn w:val="a"/>
    <w:rsid w:val="00F4728A"/>
    <w:pPr>
      <w:spacing w:after="0" w:line="240" w:lineRule="auto"/>
      <w:ind w:firstLine="567"/>
      <w:jc w:val="both"/>
    </w:pPr>
    <w:rPr>
      <w:rFonts w:ascii="Times New Roman" w:eastAsia="Times New Roman" w:hAnsi="Times New Roman" w:cs="Times New Roman"/>
      <w:sz w:val="20"/>
      <w:szCs w:val="20"/>
    </w:rPr>
  </w:style>
  <w:style w:type="paragraph" w:customStyle="1" w:styleId="snoskiline">
    <w:name w:val="snoskiline"/>
    <w:basedOn w:val="a"/>
    <w:rsid w:val="00F4728A"/>
    <w:pPr>
      <w:spacing w:after="0" w:line="240" w:lineRule="auto"/>
      <w:jc w:val="both"/>
    </w:pPr>
    <w:rPr>
      <w:rFonts w:ascii="Times New Roman" w:eastAsia="Times New Roman" w:hAnsi="Times New Roman" w:cs="Times New Roman"/>
      <w:sz w:val="20"/>
      <w:szCs w:val="20"/>
    </w:rPr>
  </w:style>
  <w:style w:type="paragraph" w:customStyle="1" w:styleId="table10">
    <w:name w:val="table10"/>
    <w:basedOn w:val="a"/>
    <w:rsid w:val="00F4728A"/>
    <w:pPr>
      <w:spacing w:after="0" w:line="240" w:lineRule="auto"/>
    </w:pPr>
    <w:rPr>
      <w:rFonts w:ascii="Times New Roman" w:eastAsia="Times New Roman" w:hAnsi="Times New Roman" w:cs="Times New Roman"/>
      <w:sz w:val="20"/>
      <w:szCs w:val="20"/>
    </w:rPr>
  </w:style>
  <w:style w:type="paragraph" w:customStyle="1" w:styleId="append">
    <w:name w:val="append"/>
    <w:basedOn w:val="a"/>
    <w:rsid w:val="00F4728A"/>
    <w:pPr>
      <w:spacing w:after="0" w:line="240" w:lineRule="auto"/>
    </w:pPr>
    <w:rPr>
      <w:rFonts w:ascii="Times New Roman" w:eastAsia="Times New Roman" w:hAnsi="Times New Roman" w:cs="Times New Roman"/>
    </w:rPr>
  </w:style>
  <w:style w:type="paragraph" w:customStyle="1" w:styleId="append1">
    <w:name w:val="append1"/>
    <w:basedOn w:val="a"/>
    <w:rsid w:val="00F4728A"/>
    <w:pPr>
      <w:spacing w:after="28" w:line="240" w:lineRule="auto"/>
    </w:pPr>
    <w:rPr>
      <w:rFonts w:ascii="Times New Roman" w:eastAsia="Times New Roman" w:hAnsi="Times New Roman" w:cs="Times New Roman"/>
    </w:rPr>
  </w:style>
  <w:style w:type="paragraph" w:styleId="a3">
    <w:name w:val="List Paragraph"/>
    <w:basedOn w:val="a"/>
    <w:uiPriority w:val="34"/>
    <w:qFormat/>
    <w:rsid w:val="00F4728A"/>
    <w:pPr>
      <w:spacing w:after="0" w:line="240" w:lineRule="auto"/>
      <w:ind w:left="720" w:right="-284" w:firstLine="709"/>
      <w:contextualSpacing/>
      <w:jc w:val="both"/>
    </w:pPr>
    <w:rPr>
      <w:rFonts w:ascii="Calibri" w:eastAsia="Calibri" w:hAnsi="Calibri" w:cs="Times New Roman"/>
      <w:lang w:eastAsia="en-US"/>
    </w:rPr>
  </w:style>
  <w:style w:type="paragraph" w:styleId="a4">
    <w:name w:val="Normal (Web)"/>
    <w:basedOn w:val="a"/>
    <w:uiPriority w:val="99"/>
    <w:unhideWhenUsed/>
    <w:rsid w:val="00F4728A"/>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1D5A2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D5A22"/>
  </w:style>
  <w:style w:type="paragraph" w:styleId="a7">
    <w:name w:val="footer"/>
    <w:basedOn w:val="a"/>
    <w:link w:val="a8"/>
    <w:uiPriority w:val="99"/>
    <w:semiHidden/>
    <w:unhideWhenUsed/>
    <w:rsid w:val="001D5A2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D5A22"/>
  </w:style>
</w:styles>
</file>

<file path=word/webSettings.xml><?xml version="1.0" encoding="utf-8"?>
<w:webSettings xmlns:r="http://schemas.openxmlformats.org/officeDocument/2006/relationships" xmlns:w="http://schemas.openxmlformats.org/wordprocessingml/2006/main">
  <w:divs>
    <w:div w:id="540823071">
      <w:bodyDiv w:val="1"/>
      <w:marLeft w:val="0"/>
      <w:marRight w:val="0"/>
      <w:marTop w:val="0"/>
      <w:marBottom w:val="0"/>
      <w:divBdr>
        <w:top w:val="none" w:sz="0" w:space="0" w:color="auto"/>
        <w:left w:val="none" w:sz="0" w:space="0" w:color="auto"/>
        <w:bottom w:val="none" w:sz="0" w:space="0" w:color="auto"/>
        <w:right w:val="none" w:sz="0" w:space="0" w:color="auto"/>
      </w:divBdr>
    </w:div>
    <w:div w:id="875237779">
      <w:bodyDiv w:val="1"/>
      <w:marLeft w:val="0"/>
      <w:marRight w:val="0"/>
      <w:marTop w:val="0"/>
      <w:marBottom w:val="0"/>
      <w:divBdr>
        <w:top w:val="none" w:sz="0" w:space="0" w:color="auto"/>
        <w:left w:val="none" w:sz="0" w:space="0" w:color="auto"/>
        <w:bottom w:val="none" w:sz="0" w:space="0" w:color="auto"/>
        <w:right w:val="none" w:sz="0" w:space="0" w:color="auto"/>
      </w:divBdr>
    </w:div>
    <w:div w:id="1788892264">
      <w:bodyDiv w:val="1"/>
      <w:marLeft w:val="0"/>
      <w:marRight w:val="0"/>
      <w:marTop w:val="0"/>
      <w:marBottom w:val="0"/>
      <w:divBdr>
        <w:top w:val="none" w:sz="0" w:space="0" w:color="auto"/>
        <w:left w:val="none" w:sz="0" w:space="0" w:color="auto"/>
        <w:bottom w:val="none" w:sz="0" w:space="0" w:color="auto"/>
        <w:right w:val="none" w:sz="0" w:space="0" w:color="auto"/>
      </w:divBdr>
    </w:div>
    <w:div w:id="1963338568">
      <w:bodyDiv w:val="1"/>
      <w:marLeft w:val="0"/>
      <w:marRight w:val="0"/>
      <w:marTop w:val="0"/>
      <w:marBottom w:val="0"/>
      <w:divBdr>
        <w:top w:val="none" w:sz="0" w:space="0" w:color="auto"/>
        <w:left w:val="none" w:sz="0" w:space="0" w:color="auto"/>
        <w:bottom w:val="none" w:sz="0" w:space="0" w:color="auto"/>
        <w:right w:val="none" w:sz="0" w:space="0" w:color="auto"/>
      </w:divBdr>
      <w:divsChild>
        <w:div w:id="1605377167">
          <w:marLeft w:val="0"/>
          <w:marRight w:val="0"/>
          <w:marTop w:val="155"/>
          <w:marBottom w:val="232"/>
          <w:divBdr>
            <w:top w:val="none" w:sz="0" w:space="0" w:color="auto"/>
            <w:left w:val="none" w:sz="0" w:space="0" w:color="auto"/>
            <w:bottom w:val="none" w:sz="0" w:space="0" w:color="auto"/>
            <w:right w:val="none" w:sz="0" w:space="0" w:color="auto"/>
          </w:divBdr>
        </w:div>
        <w:div w:id="953827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1286</Words>
  <Characters>7333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9</cp:revision>
  <cp:lastPrinted>2019-05-17T09:56:00Z</cp:lastPrinted>
  <dcterms:created xsi:type="dcterms:W3CDTF">2019-05-17T07:39:00Z</dcterms:created>
  <dcterms:modified xsi:type="dcterms:W3CDTF">2019-05-27T08:50:00Z</dcterms:modified>
</cp:coreProperties>
</file>