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C19B9">
        <w:rPr>
          <w:rFonts w:ascii="Times New Roman" w:hAnsi="Times New Roman" w:cs="Times New Roman"/>
          <w:b/>
          <w:i/>
          <w:sz w:val="30"/>
          <w:szCs w:val="30"/>
        </w:rPr>
        <w:t xml:space="preserve">Порядок и сроки выплаты заработной платы работникам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В соответствии с пунктом 4 части первой статьи 55 ТК при организации труда работников наниматель обязан выдавать заработную плату в сроки и размерах, установленных законодательством, коллективным договором, соглашением или трудовым договором.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Выплата заработной платы производится регулярно в дни, определенные в коллективном договоре,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19B9">
        <w:rPr>
          <w:rFonts w:ascii="Times New Roman" w:hAnsi="Times New Roman" w:cs="Times New Roman"/>
          <w:sz w:val="30"/>
          <w:szCs w:val="30"/>
        </w:rPr>
        <w:t>соглашении</w:t>
      </w:r>
      <w:proofErr w:type="gramEnd"/>
      <w:r w:rsidRPr="002C19B9">
        <w:rPr>
          <w:rFonts w:ascii="Times New Roman" w:hAnsi="Times New Roman" w:cs="Times New Roman"/>
          <w:sz w:val="30"/>
          <w:szCs w:val="30"/>
        </w:rPr>
        <w:t xml:space="preserve"> или трудовом договоре, но не реже двух раз в месяц, если иная периодичность (не реже одного раза в месяц) не определена контрактом.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При совпадении сроков выплаты заработной платы с выходными днями или государственными праздниками и праздничными днями она должна производиться накануне их.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>Все выплаты (кроме выплат, установленных системами оплаты труда, размер которых определяется по результатам работы за месяц или иной отчетный период), не полученные ко дню смерти работника,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19B9" w:rsidRPr="002C19B9" w:rsidRDefault="002C19B9" w:rsidP="002C19B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производятся членам его семьи или лицам, находившимся на иждивении работника на день его смерти, не позднее семи календарных дней со дня подачи нанимателю соответствующих документов.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Наниматель обязан выплатить средний заработок за время трудового отпуска не </w:t>
      </w:r>
      <w:proofErr w:type="gramStart"/>
      <w:r w:rsidRPr="002C19B9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2C19B9">
        <w:rPr>
          <w:rFonts w:ascii="Times New Roman" w:hAnsi="Times New Roman" w:cs="Times New Roman"/>
          <w:sz w:val="30"/>
          <w:szCs w:val="30"/>
        </w:rPr>
        <w:t xml:space="preserve"> чем за два дня до его начала (статья 176 ТК).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При начислении заработной платы наниматель обязан проверить соблюдение им статьи 59 «Минимальная заработная плата» ТК.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19B9">
        <w:rPr>
          <w:rFonts w:ascii="Times New Roman" w:hAnsi="Times New Roman" w:cs="Times New Roman"/>
          <w:sz w:val="30"/>
          <w:szCs w:val="30"/>
        </w:rPr>
        <w:t xml:space="preserve">Так, согласно статье 59 ТК минимальная заработная плата (месячная и часовая) -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договора. </w:t>
      </w:r>
      <w:proofErr w:type="gramEnd"/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>Разм</w:t>
      </w:r>
      <w:r>
        <w:rPr>
          <w:rFonts w:ascii="Times New Roman" w:hAnsi="Times New Roman" w:cs="Times New Roman"/>
          <w:sz w:val="30"/>
          <w:szCs w:val="30"/>
        </w:rPr>
        <w:t>ер минимальной заработной платы (</w:t>
      </w:r>
      <w:r w:rsidRPr="002C19B9">
        <w:rPr>
          <w:rFonts w:ascii="Times New Roman" w:hAnsi="Times New Roman" w:cs="Times New Roman"/>
          <w:sz w:val="30"/>
          <w:szCs w:val="30"/>
        </w:rPr>
        <w:t xml:space="preserve">МЗП), порядок его установления и условия повышения определяются законодательством.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19B9">
        <w:rPr>
          <w:rFonts w:ascii="Times New Roman" w:hAnsi="Times New Roman" w:cs="Times New Roman"/>
          <w:sz w:val="30"/>
          <w:szCs w:val="30"/>
        </w:rPr>
        <w:t xml:space="preserve">Размер часовой МЗП определяется нанимателем путем деления размера месячной МЗП на соотношение расчетной нормы рабочего времени календарного года, установленной для соответствующих категорий работников нанимателем в соответствии с законодательством о труде, и количества месяцев календарного года, а также изменяется нанимателем при изменении размера месячной МЗП, в том числе в связи с индексацией месячной МЗП. </w:t>
      </w:r>
      <w:proofErr w:type="gramEnd"/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lastRenderedPageBreak/>
        <w:t xml:space="preserve">Месячная МЗП применяется в отношении работников, оплата труда которых производится на основе месячных тарифных ставок (тарифных окладов), окладов.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Часовая МЗП применяется в отношении работников, оплата труда которых производится на основе часовых тарифных ставок (тарифных окладов), окладов.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>МЗП (</w:t>
      </w:r>
      <w:proofErr w:type="gramStart"/>
      <w:r w:rsidRPr="002C19B9">
        <w:rPr>
          <w:rFonts w:ascii="Times New Roman" w:hAnsi="Times New Roman" w:cs="Times New Roman"/>
          <w:sz w:val="30"/>
          <w:szCs w:val="30"/>
        </w:rPr>
        <w:t>месячная</w:t>
      </w:r>
      <w:proofErr w:type="gramEnd"/>
      <w:r w:rsidRPr="002C19B9">
        <w:rPr>
          <w:rFonts w:ascii="Times New Roman" w:hAnsi="Times New Roman" w:cs="Times New Roman"/>
          <w:sz w:val="30"/>
          <w:szCs w:val="30"/>
        </w:rPr>
        <w:t xml:space="preserve"> и часовая) применяется с учетом отработанного рабочего времени.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 xml:space="preserve">Работнику, у которого размер начисленной заработной платы оказался ниже установленного размера МЗП (месячной и часовой), наниматель обязан произвести доплату до размера МЗП (месячной и часовой). </w:t>
      </w:r>
    </w:p>
    <w:p w:rsidR="002C19B9" w:rsidRP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C19B9">
        <w:rPr>
          <w:rFonts w:ascii="Times New Roman" w:hAnsi="Times New Roman" w:cs="Times New Roman"/>
          <w:sz w:val="30"/>
          <w:szCs w:val="30"/>
        </w:rPr>
        <w:t>При определении доплаты до размера МЗП (месячной и часовой) в размере начисленной заработной платы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19B9">
        <w:rPr>
          <w:rFonts w:ascii="Times New Roman" w:hAnsi="Times New Roman" w:cs="Times New Roman"/>
          <w:sz w:val="30"/>
          <w:szCs w:val="30"/>
        </w:rPr>
        <w:t>работника не учитываются компенсирующие выплаты и выплаты, не связанные с выполнением работником обязанностей, вытекающих из законодательства, локальных правовых актов и трудового договора, перечень которых установлен постановлением Министерства труда и социальной защиты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19B9">
        <w:rPr>
          <w:rFonts w:ascii="Times New Roman" w:hAnsi="Times New Roman" w:cs="Times New Roman"/>
          <w:sz w:val="30"/>
          <w:szCs w:val="30"/>
        </w:rPr>
        <w:t xml:space="preserve">от 21.07.2014 № 68. </w:t>
      </w: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19B9" w:rsidRDefault="002C19B9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7513D" w:rsidRDefault="0037513D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7513D" w:rsidRDefault="0037513D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7513D" w:rsidRDefault="0037513D" w:rsidP="002C1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37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B9"/>
    <w:rsid w:val="002C19B9"/>
    <w:rsid w:val="0037513D"/>
    <w:rsid w:val="00464EBA"/>
    <w:rsid w:val="00545362"/>
    <w:rsid w:val="00737F0C"/>
    <w:rsid w:val="008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5A38-DC3F-4F68-A0A9-32D83060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2020-11-06T08:57:00Z</dcterms:created>
  <dcterms:modified xsi:type="dcterms:W3CDTF">2020-11-09T14:41:00Z</dcterms:modified>
</cp:coreProperties>
</file>