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tblPr>
      <w:tblGrid>
        <w:gridCol w:w="9356"/>
      </w:tblGrid>
      <w:tr w:rsidR="00F26A3F" w:rsidTr="00821EC0">
        <w:trPr>
          <w:trHeight w:val="14040"/>
        </w:trPr>
        <w:tc>
          <w:tcPr>
            <w:tcW w:w="9356" w:type="dxa"/>
            <w:tcBorders>
              <w:top w:val="thinThickThinSmallGap" w:sz="24" w:space="0" w:color="auto"/>
              <w:left w:val="thinThickThinSmallGap" w:sz="24" w:space="0" w:color="auto"/>
              <w:bottom w:val="thinThickThinSmallGap" w:sz="24" w:space="0" w:color="auto"/>
              <w:right w:val="thinThickThinSmallGap" w:sz="24" w:space="0" w:color="auto"/>
            </w:tcBorders>
          </w:tcPr>
          <w:p w:rsidR="00F26A3F" w:rsidRDefault="00F26A3F" w:rsidP="00BE7C68">
            <w:pPr>
              <w:jc w:val="center"/>
              <w:rPr>
                <w:sz w:val="28"/>
                <w:szCs w:val="28"/>
              </w:rPr>
            </w:pPr>
            <w:r>
              <w:rPr>
                <w:b/>
                <w:sz w:val="30"/>
                <w:szCs w:val="30"/>
              </w:rPr>
              <w:t>ПОРЯДОК ПРЕДОСТАВЛЕНИЯ ИНФОРМАЦИИ ИЗ ЕДИНОГО ГОСУДАРСТВЕННОГО РЕГИСТРА ЮРИДИЧЕСКИХ ЛИЦ И ИНДИВИДУАЛЬНЫХ ПРЕДПРИНИМАТЕЛЕЙ (ДАЛЕЕ – ЕГР)</w:t>
            </w:r>
          </w:p>
          <w:p w:rsidR="00F26A3F" w:rsidRDefault="00F26A3F" w:rsidP="00F26A3F">
            <w:pPr>
              <w:spacing w:after="0"/>
              <w:ind w:firstLine="612"/>
              <w:jc w:val="both"/>
              <w:rPr>
                <w:sz w:val="28"/>
                <w:szCs w:val="28"/>
              </w:rPr>
            </w:pPr>
            <w:proofErr w:type="gramStart"/>
            <w:r>
              <w:rPr>
                <w:sz w:val="28"/>
                <w:szCs w:val="28"/>
              </w:rPr>
              <w:t xml:space="preserve">Порядок предоставления сведений из ЕГР определен Положением о Едином государственной регистре юридических лиц и индивидуальных предпринимателей, утвержденным постановлением Совета Министров Республики Беларусь от 23 февраля 2009 № 229, и Инструкцией о порядке ведения Единого государственного </w:t>
            </w:r>
            <w:hyperlink r:id="rId4" w:anchor="a14" w:tooltip="+" w:history="1">
              <w:r>
                <w:rPr>
                  <w:rStyle w:val="a3"/>
                  <w:color w:val="auto"/>
                  <w:sz w:val="28"/>
                  <w:szCs w:val="28"/>
                  <w:u w:val="none"/>
                </w:rPr>
                <w:t>регистра</w:t>
              </w:r>
            </w:hyperlink>
            <w:r>
              <w:rPr>
                <w:sz w:val="28"/>
                <w:szCs w:val="28"/>
              </w:rPr>
              <w:t xml:space="preserve"> юридических лиц и индивидуальных предпринимателей, утвержденной постановлением Министерства юстиции Республики Беларусь от 10 марта 2009 № 25.</w:t>
            </w:r>
            <w:proofErr w:type="gramEnd"/>
          </w:p>
          <w:p w:rsidR="00BE7C68" w:rsidRDefault="00BE7C68" w:rsidP="00BE7C68">
            <w:pPr>
              <w:pStyle w:val="ConsPlusNormal"/>
              <w:widowControl/>
              <w:ind w:left="72" w:right="67" w:firstLine="540"/>
              <w:jc w:val="both"/>
              <w:rPr>
                <w:rFonts w:ascii="Times New Roman" w:hAnsi="Times New Roman" w:cs="Times New Roman"/>
                <w:sz w:val="29"/>
                <w:szCs w:val="29"/>
              </w:rPr>
            </w:pPr>
            <w:r>
              <w:rPr>
                <w:rFonts w:ascii="Times New Roman" w:hAnsi="Times New Roman" w:cs="Times New Roman"/>
                <w:sz w:val="29"/>
                <w:szCs w:val="29"/>
              </w:rPr>
              <w:t xml:space="preserve">Предоставление сведений из ЕГР осуществляется на основании </w:t>
            </w:r>
            <w:r>
              <w:rPr>
                <w:rFonts w:ascii="Times New Roman" w:hAnsi="Times New Roman" w:cs="Times New Roman"/>
                <w:b/>
                <w:sz w:val="29"/>
                <w:szCs w:val="29"/>
              </w:rPr>
              <w:t xml:space="preserve">заявления (запроса </w:t>
            </w:r>
            <w:proofErr w:type="gramStart"/>
            <w:r>
              <w:rPr>
                <w:rFonts w:ascii="Times New Roman" w:hAnsi="Times New Roman" w:cs="Times New Roman"/>
                <w:b/>
                <w:sz w:val="29"/>
                <w:szCs w:val="29"/>
              </w:rPr>
              <w:t>для</w:t>
            </w:r>
            <w:proofErr w:type="gramEnd"/>
            <w:r>
              <w:rPr>
                <w:rFonts w:ascii="Times New Roman" w:hAnsi="Times New Roman" w:cs="Times New Roman"/>
                <w:b/>
                <w:sz w:val="29"/>
                <w:szCs w:val="29"/>
              </w:rPr>
              <w:t xml:space="preserve">  ЮЛ), составленного в произвольной форме</w:t>
            </w:r>
            <w:r>
              <w:rPr>
                <w:rFonts w:ascii="Times New Roman" w:hAnsi="Times New Roman" w:cs="Times New Roman"/>
                <w:sz w:val="29"/>
                <w:szCs w:val="29"/>
              </w:rPr>
              <w:t>.</w:t>
            </w:r>
          </w:p>
          <w:p w:rsidR="00BE7C68" w:rsidRDefault="00BE7C68" w:rsidP="00BE7C68">
            <w:pPr>
              <w:pStyle w:val="ConsPlusNormal"/>
              <w:widowControl/>
              <w:ind w:left="72" w:right="67" w:firstLine="540"/>
              <w:jc w:val="both"/>
              <w:rPr>
                <w:rFonts w:ascii="Times New Roman" w:hAnsi="Times New Roman" w:cs="Times New Roman"/>
                <w:sz w:val="29"/>
                <w:szCs w:val="29"/>
              </w:rPr>
            </w:pPr>
            <w:r>
              <w:rPr>
                <w:rFonts w:ascii="Times New Roman" w:hAnsi="Times New Roman" w:cs="Times New Roman"/>
                <w:sz w:val="29"/>
                <w:szCs w:val="29"/>
              </w:rPr>
              <w:t xml:space="preserve">К заявлению (запросу) </w:t>
            </w:r>
            <w:r>
              <w:rPr>
                <w:rFonts w:ascii="Times New Roman" w:hAnsi="Times New Roman" w:cs="Times New Roman"/>
                <w:b/>
                <w:sz w:val="29"/>
                <w:szCs w:val="29"/>
              </w:rPr>
              <w:t>прилагается документ</w:t>
            </w:r>
            <w:r>
              <w:rPr>
                <w:rFonts w:ascii="Times New Roman" w:hAnsi="Times New Roman" w:cs="Times New Roman"/>
                <w:sz w:val="29"/>
                <w:szCs w:val="29"/>
              </w:rPr>
              <w:t xml:space="preserve">, подтверждающий оплату государственной пошлины в размере </w:t>
            </w:r>
            <w:r>
              <w:rPr>
                <w:rFonts w:ascii="Times New Roman" w:hAnsi="Times New Roman" w:cs="Times New Roman"/>
                <w:b/>
                <w:sz w:val="29"/>
                <w:szCs w:val="29"/>
              </w:rPr>
              <w:t>одной базовой величины</w:t>
            </w:r>
            <w:r>
              <w:rPr>
                <w:rFonts w:ascii="Times New Roman" w:hAnsi="Times New Roman" w:cs="Times New Roman"/>
                <w:sz w:val="29"/>
                <w:szCs w:val="29"/>
              </w:rPr>
              <w:t xml:space="preserve">. </w:t>
            </w:r>
          </w:p>
          <w:p w:rsidR="00BE7C68" w:rsidRDefault="00BE7C68" w:rsidP="00BE7C68">
            <w:pPr>
              <w:pStyle w:val="ConsPlusNormal"/>
              <w:widowControl/>
              <w:ind w:left="72" w:right="67" w:firstLine="540"/>
              <w:jc w:val="both"/>
              <w:rPr>
                <w:rFonts w:ascii="Times New Roman" w:hAnsi="Times New Roman" w:cs="Times New Roman"/>
                <w:sz w:val="29"/>
                <w:szCs w:val="29"/>
              </w:rPr>
            </w:pPr>
            <w:r>
              <w:rPr>
                <w:rFonts w:ascii="Times New Roman" w:hAnsi="Times New Roman" w:cs="Times New Roman"/>
                <w:b/>
                <w:sz w:val="29"/>
                <w:szCs w:val="29"/>
                <w:u w:val="single"/>
              </w:rPr>
              <w:t>От уплаты государственной пошлины при предоставлении информации из ЕГР освобождаются</w:t>
            </w:r>
            <w:r>
              <w:rPr>
                <w:rFonts w:ascii="Times New Roman" w:hAnsi="Times New Roman" w:cs="Times New Roman"/>
                <w:sz w:val="29"/>
                <w:szCs w:val="29"/>
                <w:u w:val="single"/>
              </w:rPr>
              <w:t>:</w:t>
            </w:r>
          </w:p>
          <w:p w:rsidR="00BE7C68" w:rsidRDefault="00BE7C68" w:rsidP="00BE7C68">
            <w:pPr>
              <w:autoSpaceDE w:val="0"/>
              <w:autoSpaceDN w:val="0"/>
              <w:adjustRightInd w:val="0"/>
              <w:spacing w:after="0" w:line="240" w:lineRule="auto"/>
              <w:ind w:firstLine="540"/>
              <w:jc w:val="both"/>
              <w:rPr>
                <w:rFonts w:ascii="Arial" w:hAnsi="Arial" w:cs="Arial"/>
                <w:sz w:val="29"/>
                <w:szCs w:val="29"/>
              </w:rPr>
            </w:pPr>
          </w:p>
          <w:p w:rsidR="00BE7C68" w:rsidRDefault="00BE7C68" w:rsidP="00BE7C68">
            <w:pPr>
              <w:autoSpaceDE w:val="0"/>
              <w:autoSpaceDN w:val="0"/>
              <w:adjustRightInd w:val="0"/>
              <w:spacing w:after="0" w:line="240" w:lineRule="auto"/>
              <w:ind w:firstLine="540"/>
              <w:jc w:val="both"/>
              <w:rPr>
                <w:rFonts w:ascii="Arial" w:hAnsi="Arial" w:cs="Arial"/>
                <w:sz w:val="29"/>
                <w:szCs w:val="29"/>
              </w:rPr>
            </w:pPr>
            <w:proofErr w:type="gramStart"/>
            <w:r>
              <w:rPr>
                <w:rFonts w:ascii="Arial" w:hAnsi="Arial" w:cs="Arial"/>
                <w:sz w:val="29"/>
                <w:szCs w:val="29"/>
              </w:rPr>
              <w:t>- физическое лицо по запросам о предоставлении информации, содержащейся в Едином государственном регистре юридических лиц и индивидуальных предпринимателей, а также в реестре специальных разрешений (лицензий),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сети Интернет) информации о физических лицах в целях их знакомства, деятельность по оказанию психологической помощи</w:t>
            </w:r>
            <w:proofErr w:type="gramEnd"/>
            <w:r>
              <w:rPr>
                <w:rFonts w:ascii="Arial" w:hAnsi="Arial" w:cs="Arial"/>
                <w:sz w:val="29"/>
                <w:szCs w:val="29"/>
              </w:rPr>
              <w:t>, а также по запросам о предоставлении информации, содержащейся в Едином государственном регистре юридических лиц и индивидуальных предпринимателей, в целях защиты прав потребителей, начисления пенсий, социальных пособий и иных социальных выплат;</w:t>
            </w:r>
          </w:p>
          <w:p w:rsidR="00BE7C68" w:rsidRDefault="00BE7C68" w:rsidP="00BE7C68">
            <w:pPr>
              <w:autoSpaceDE w:val="0"/>
              <w:autoSpaceDN w:val="0"/>
              <w:adjustRightInd w:val="0"/>
              <w:spacing w:after="0" w:line="240" w:lineRule="auto"/>
              <w:ind w:firstLine="540"/>
              <w:jc w:val="both"/>
              <w:rPr>
                <w:rFonts w:ascii="Arial" w:hAnsi="Arial" w:cs="Arial"/>
                <w:sz w:val="29"/>
                <w:szCs w:val="29"/>
              </w:rPr>
            </w:pPr>
            <w:proofErr w:type="gramStart"/>
            <w:r>
              <w:rPr>
                <w:rFonts w:ascii="Arial" w:hAnsi="Arial" w:cs="Arial"/>
                <w:sz w:val="29"/>
                <w:szCs w:val="29"/>
              </w:rPr>
              <w:t xml:space="preserve">- государственная организация, подчиненная (подотчетная) Президенту Республики Беларусь или подчиненная Совету Министров Республики Беларусь, Национальная академия наук Беларуси, организация по государственной регистрации недвижимого имущества, прав на него и сделок с ним, а также нотариус - по запросам о предоставлении информации, содержащейся в Едином государственном регистре юридических лиц и индивидуальных предпринимателей, реестре специальных </w:t>
            </w:r>
            <w:r>
              <w:rPr>
                <w:rFonts w:ascii="Arial" w:hAnsi="Arial" w:cs="Arial"/>
                <w:sz w:val="29"/>
                <w:szCs w:val="29"/>
              </w:rPr>
              <w:lastRenderedPageBreak/>
              <w:t>разрешений (лицензий), Государственном реестре морских судов Республики Беларусь, Государственном судовом</w:t>
            </w:r>
            <w:proofErr w:type="gramEnd"/>
            <w:r>
              <w:rPr>
                <w:rFonts w:ascii="Arial" w:hAnsi="Arial" w:cs="Arial"/>
                <w:sz w:val="29"/>
                <w:szCs w:val="29"/>
              </w:rPr>
              <w:t xml:space="preserve"> </w:t>
            </w:r>
            <w:proofErr w:type="gramStart"/>
            <w:r>
              <w:rPr>
                <w:rFonts w:ascii="Arial" w:hAnsi="Arial" w:cs="Arial"/>
                <w:sz w:val="29"/>
                <w:szCs w:val="29"/>
              </w:rPr>
              <w:t>реестре Республики Беларусь или судовой книге, Государственном реестре общественных объединений, союзов (ассоциаций) общественных объединений, Государственном реестре политических партий, союзов (ассоциаций) политических партий, реестрах местных общественных объединений, союзов (ассоциаций) местных общественных объединений, Государственном реестре профессиональных союзов, союзов (ассоциаций) профессиональных союзов, реестрах территориальных профессиональных союзов, профессиональных союзов организаций, союзов (ассоциаций) профессиональных союзов;</w:t>
            </w:r>
            <w:proofErr w:type="gramEnd"/>
          </w:p>
          <w:p w:rsidR="00BE7C68" w:rsidRDefault="00BE7C68" w:rsidP="00BE7C68">
            <w:pPr>
              <w:autoSpaceDE w:val="0"/>
              <w:autoSpaceDN w:val="0"/>
              <w:adjustRightInd w:val="0"/>
              <w:spacing w:before="200" w:after="0" w:line="240" w:lineRule="auto"/>
              <w:ind w:firstLine="540"/>
              <w:jc w:val="both"/>
              <w:rPr>
                <w:rFonts w:ascii="Arial" w:hAnsi="Arial" w:cs="Arial"/>
                <w:sz w:val="29"/>
                <w:szCs w:val="29"/>
              </w:rPr>
            </w:pPr>
            <w:r>
              <w:rPr>
                <w:rFonts w:ascii="Arial" w:hAnsi="Arial" w:cs="Arial"/>
                <w:sz w:val="29"/>
                <w:szCs w:val="29"/>
              </w:rPr>
              <w:t xml:space="preserve">- организация, осуществляющая начисление платы за жилищно-коммунальные услуги и платы за пользование жилым помещением, за исключением </w:t>
            </w:r>
            <w:proofErr w:type="spellStart"/>
            <w:r>
              <w:rPr>
                <w:rFonts w:ascii="Arial" w:hAnsi="Arial" w:cs="Arial"/>
                <w:sz w:val="29"/>
                <w:szCs w:val="29"/>
              </w:rPr>
              <w:t>газ</w:t>
            </w:r>
            <w:proofErr w:type="gramStart"/>
            <w:r>
              <w:rPr>
                <w:rFonts w:ascii="Arial" w:hAnsi="Arial" w:cs="Arial"/>
                <w:sz w:val="29"/>
                <w:szCs w:val="29"/>
              </w:rPr>
              <w:t>о</w:t>
            </w:r>
            <w:proofErr w:type="spellEnd"/>
            <w:r>
              <w:rPr>
                <w:rFonts w:ascii="Arial" w:hAnsi="Arial" w:cs="Arial"/>
                <w:sz w:val="29"/>
                <w:szCs w:val="29"/>
              </w:rPr>
              <w:t>-</w:t>
            </w:r>
            <w:proofErr w:type="gramEnd"/>
            <w:r>
              <w:rPr>
                <w:rFonts w:ascii="Arial" w:hAnsi="Arial" w:cs="Arial"/>
                <w:sz w:val="29"/>
                <w:szCs w:val="29"/>
              </w:rPr>
              <w:t xml:space="preserve"> и </w:t>
            </w:r>
            <w:proofErr w:type="spellStart"/>
            <w:r>
              <w:rPr>
                <w:rFonts w:ascii="Arial" w:hAnsi="Arial" w:cs="Arial"/>
                <w:sz w:val="29"/>
                <w:szCs w:val="29"/>
              </w:rPr>
              <w:t>энергоснабжающих</w:t>
            </w:r>
            <w:proofErr w:type="spellEnd"/>
            <w:r>
              <w:rPr>
                <w:rFonts w:ascii="Arial" w:hAnsi="Arial" w:cs="Arial"/>
                <w:sz w:val="29"/>
                <w:szCs w:val="29"/>
              </w:rPr>
              <w:t xml:space="preserve"> организаций, входящих в состав государственного производственного объединения по топливу и газификации "</w:t>
            </w:r>
            <w:proofErr w:type="spellStart"/>
            <w:r>
              <w:rPr>
                <w:rFonts w:ascii="Arial" w:hAnsi="Arial" w:cs="Arial"/>
                <w:sz w:val="29"/>
                <w:szCs w:val="29"/>
              </w:rPr>
              <w:t>Белтопгаз</w:t>
            </w:r>
            <w:proofErr w:type="spellEnd"/>
            <w:r>
              <w:rPr>
                <w:rFonts w:ascii="Arial" w:hAnsi="Arial" w:cs="Arial"/>
                <w:sz w:val="29"/>
                <w:szCs w:val="29"/>
              </w:rPr>
              <w:t>" и государственного производственного объединения электроэнергетики "</w:t>
            </w:r>
            <w:proofErr w:type="spellStart"/>
            <w:r>
              <w:rPr>
                <w:rFonts w:ascii="Arial" w:hAnsi="Arial" w:cs="Arial"/>
                <w:sz w:val="29"/>
                <w:szCs w:val="29"/>
              </w:rPr>
              <w:t>Белэнерго</w:t>
            </w:r>
            <w:proofErr w:type="spellEnd"/>
            <w:r>
              <w:rPr>
                <w:rFonts w:ascii="Arial" w:hAnsi="Arial" w:cs="Arial"/>
                <w:sz w:val="29"/>
                <w:szCs w:val="29"/>
              </w:rPr>
              <w:t>", организация, назначающая и выплачивающая государственные пособия семьям, воспитывающим детей, а также временный (антикризисный) управляющий, назначенный судом для осуществления своих полномочий в процедурах экономической несостоятельности (банкротства),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них законодательными актами обязанностей;</w:t>
            </w:r>
          </w:p>
          <w:p w:rsidR="00BE7C68" w:rsidRDefault="00BE7C68" w:rsidP="00BE7C68">
            <w:pPr>
              <w:pStyle w:val="ConsPlusNormal"/>
              <w:widowControl/>
              <w:ind w:left="72" w:right="67" w:firstLine="540"/>
              <w:jc w:val="both"/>
              <w:rPr>
                <w:rFonts w:ascii="Times New Roman" w:hAnsi="Times New Roman" w:cs="Times New Roman"/>
                <w:sz w:val="29"/>
                <w:szCs w:val="29"/>
              </w:rPr>
            </w:pPr>
            <w:r>
              <w:rPr>
                <w:rFonts w:ascii="Times New Roman" w:hAnsi="Times New Roman" w:cs="Times New Roman"/>
                <w:sz w:val="29"/>
                <w:szCs w:val="29"/>
              </w:rPr>
              <w:t xml:space="preserve">Сведения из ЕГР предоставляются </w:t>
            </w:r>
            <w:r>
              <w:rPr>
                <w:rFonts w:ascii="Times New Roman" w:hAnsi="Times New Roman" w:cs="Times New Roman"/>
                <w:b/>
                <w:sz w:val="29"/>
                <w:szCs w:val="29"/>
              </w:rPr>
              <w:t xml:space="preserve">о конкретном юридическом лице, индивидуальном предпринимателе </w:t>
            </w:r>
            <w:r>
              <w:rPr>
                <w:rFonts w:ascii="Times New Roman" w:hAnsi="Times New Roman" w:cs="Times New Roman"/>
                <w:sz w:val="29"/>
                <w:szCs w:val="29"/>
              </w:rPr>
              <w:t>в объеме, установленном законодательством.</w:t>
            </w:r>
          </w:p>
          <w:p w:rsidR="00BE7C68" w:rsidRDefault="00BE7C68" w:rsidP="00BE7C68">
            <w:pPr>
              <w:autoSpaceDE w:val="0"/>
              <w:autoSpaceDN w:val="0"/>
              <w:adjustRightInd w:val="0"/>
              <w:spacing w:after="0" w:line="240" w:lineRule="auto"/>
              <w:ind w:firstLine="539"/>
              <w:jc w:val="both"/>
              <w:outlineLvl w:val="1"/>
              <w:rPr>
                <w:rFonts w:ascii="Times New Roman" w:hAnsi="Times New Roman" w:cs="Times New Roman"/>
                <w:bCs/>
                <w:sz w:val="29"/>
                <w:szCs w:val="29"/>
              </w:rPr>
            </w:pPr>
            <w:proofErr w:type="gramStart"/>
            <w:r>
              <w:rPr>
                <w:bCs/>
                <w:sz w:val="29"/>
                <w:szCs w:val="29"/>
              </w:rPr>
              <w:t xml:space="preserve">Сведения о месте жительства, </w:t>
            </w:r>
            <w:r>
              <w:rPr>
                <w:sz w:val="29"/>
                <w:szCs w:val="29"/>
              </w:rPr>
              <w:t xml:space="preserve">номере домашнего телефона </w:t>
            </w:r>
            <w:r>
              <w:rPr>
                <w:bCs/>
                <w:sz w:val="29"/>
                <w:szCs w:val="29"/>
              </w:rPr>
              <w:t xml:space="preserve">собственников имущества (учредителей, участников) - физических лиц, данные документа, удостоверяющего личность; о месте жительства, </w:t>
            </w:r>
            <w:r>
              <w:rPr>
                <w:sz w:val="29"/>
                <w:szCs w:val="29"/>
              </w:rPr>
              <w:t>номере домашнего телефона</w:t>
            </w:r>
            <w:r>
              <w:rPr>
                <w:bCs/>
                <w:sz w:val="29"/>
                <w:szCs w:val="29"/>
              </w:rPr>
              <w:t>, данные документа, удостоверяющего личность руководителя юридического лица; данные документа, удостоверяющего личность индивидуального предпринимателя, а также копии документов, содержащихся в регистрационных делах субъектов хозяйствования, предоставляются</w:t>
            </w:r>
            <w:r>
              <w:rPr>
                <w:b/>
                <w:bCs/>
                <w:sz w:val="29"/>
                <w:szCs w:val="29"/>
              </w:rPr>
              <w:t xml:space="preserve"> только по запросам суда, правоохранительных и контролирующих органов.</w:t>
            </w:r>
            <w:proofErr w:type="gramEnd"/>
          </w:p>
          <w:p w:rsidR="00BE7C68" w:rsidRDefault="00BE7C68" w:rsidP="00BE7C68">
            <w:pPr>
              <w:pStyle w:val="ConsPlusNormal"/>
              <w:widowControl/>
              <w:ind w:left="72" w:right="67" w:firstLine="540"/>
              <w:jc w:val="both"/>
              <w:rPr>
                <w:rFonts w:ascii="Times New Roman" w:hAnsi="Times New Roman" w:cs="Times New Roman"/>
                <w:sz w:val="29"/>
                <w:szCs w:val="29"/>
              </w:rPr>
            </w:pPr>
            <w:r>
              <w:rPr>
                <w:rFonts w:ascii="Times New Roman" w:hAnsi="Times New Roman" w:cs="Times New Roman"/>
                <w:sz w:val="29"/>
                <w:szCs w:val="29"/>
              </w:rPr>
              <w:lastRenderedPageBreak/>
              <w:t xml:space="preserve">Срок предоставления сведений из ЕГР по запросам </w:t>
            </w:r>
            <w:r>
              <w:rPr>
                <w:rFonts w:ascii="Times New Roman" w:hAnsi="Times New Roman" w:cs="Times New Roman"/>
                <w:b/>
                <w:sz w:val="29"/>
                <w:szCs w:val="29"/>
              </w:rPr>
              <w:t>юридических лиц</w:t>
            </w:r>
            <w:r>
              <w:rPr>
                <w:rFonts w:ascii="Times New Roman" w:hAnsi="Times New Roman" w:cs="Times New Roman"/>
                <w:sz w:val="29"/>
                <w:szCs w:val="29"/>
              </w:rPr>
              <w:t xml:space="preserve"> не должен превышать </w:t>
            </w:r>
            <w:r>
              <w:rPr>
                <w:rFonts w:ascii="Times New Roman" w:hAnsi="Times New Roman" w:cs="Times New Roman"/>
                <w:b/>
                <w:sz w:val="29"/>
                <w:szCs w:val="29"/>
                <w:u w:val="single"/>
              </w:rPr>
              <w:t>семи календарных дней</w:t>
            </w:r>
            <w:r>
              <w:rPr>
                <w:rFonts w:ascii="Times New Roman" w:hAnsi="Times New Roman" w:cs="Times New Roman"/>
                <w:sz w:val="29"/>
                <w:szCs w:val="29"/>
              </w:rPr>
              <w:t xml:space="preserve">, а по запросам физических лиц - </w:t>
            </w:r>
            <w:r>
              <w:rPr>
                <w:rFonts w:ascii="Times New Roman" w:hAnsi="Times New Roman" w:cs="Times New Roman"/>
                <w:b/>
                <w:sz w:val="29"/>
                <w:szCs w:val="29"/>
                <w:u w:val="single"/>
              </w:rPr>
              <w:t>пяти календарных дней со дня</w:t>
            </w:r>
            <w:r>
              <w:rPr>
                <w:rFonts w:ascii="Times New Roman" w:hAnsi="Times New Roman" w:cs="Times New Roman"/>
                <w:sz w:val="29"/>
                <w:szCs w:val="29"/>
              </w:rPr>
              <w:t xml:space="preserve"> подачи соответствующего запроса (заявления).</w:t>
            </w:r>
          </w:p>
          <w:p w:rsidR="00F26A3F" w:rsidRPr="00591D8B" w:rsidRDefault="00BE7C68" w:rsidP="00BE7C68">
            <w:pPr>
              <w:jc w:val="center"/>
              <w:rPr>
                <w:sz w:val="29"/>
                <w:szCs w:val="29"/>
              </w:rPr>
            </w:pPr>
            <w:r>
              <w:rPr>
                <w:sz w:val="29"/>
                <w:szCs w:val="29"/>
              </w:rPr>
              <w:t xml:space="preserve">Отказ в предоставлении сведений из ЕГР может быть </w:t>
            </w:r>
            <w:r>
              <w:rPr>
                <w:b/>
                <w:sz w:val="29"/>
                <w:szCs w:val="29"/>
              </w:rPr>
              <w:t>обжалован в суд</w:t>
            </w:r>
            <w:r>
              <w:rPr>
                <w:sz w:val="29"/>
                <w:szCs w:val="29"/>
              </w:rPr>
              <w:t>.</w:t>
            </w:r>
          </w:p>
          <w:p w:rsidR="00591D8B" w:rsidRDefault="00591D8B" w:rsidP="00591D8B">
            <w:pPr>
              <w:spacing w:after="0" w:line="240" w:lineRule="auto"/>
              <w:jc w:val="center"/>
              <w:rPr>
                <w:b/>
                <w:spacing w:val="-20"/>
                <w:sz w:val="36"/>
                <w:szCs w:val="36"/>
              </w:rPr>
            </w:pPr>
            <w:r>
              <w:rPr>
                <w:b/>
                <w:spacing w:val="-20"/>
                <w:sz w:val="36"/>
                <w:szCs w:val="36"/>
                <w:lang w:val="be-BY"/>
              </w:rPr>
              <w:t>Прием документов</w:t>
            </w:r>
            <w:r w:rsidRPr="00446D5E">
              <w:rPr>
                <w:b/>
                <w:spacing w:val="-20"/>
                <w:sz w:val="36"/>
                <w:szCs w:val="36"/>
              </w:rPr>
              <w:t xml:space="preserve"> осуществляется</w:t>
            </w:r>
            <w:r>
              <w:rPr>
                <w:b/>
                <w:spacing w:val="-20"/>
                <w:sz w:val="36"/>
                <w:szCs w:val="36"/>
              </w:rPr>
              <w:t xml:space="preserve"> по адресу: г.Пинск,</w:t>
            </w:r>
          </w:p>
          <w:p w:rsidR="00821EC0" w:rsidRDefault="00591D8B" w:rsidP="00591D8B">
            <w:pPr>
              <w:spacing w:after="0" w:line="240" w:lineRule="auto"/>
              <w:jc w:val="center"/>
              <w:rPr>
                <w:b/>
                <w:spacing w:val="-20"/>
                <w:sz w:val="36"/>
                <w:szCs w:val="36"/>
              </w:rPr>
            </w:pPr>
            <w:r>
              <w:rPr>
                <w:b/>
                <w:spacing w:val="-20"/>
                <w:sz w:val="36"/>
                <w:szCs w:val="36"/>
              </w:rPr>
              <w:t xml:space="preserve">ул. Днепровской Флотилии, 21, </w:t>
            </w:r>
            <w:r w:rsidR="00821EC0">
              <w:rPr>
                <w:b/>
                <w:spacing w:val="-20"/>
                <w:sz w:val="36"/>
                <w:szCs w:val="36"/>
              </w:rPr>
              <w:t>служба «одно окно»</w:t>
            </w:r>
          </w:p>
          <w:p w:rsidR="00821EC0" w:rsidRDefault="00821EC0" w:rsidP="00821EC0">
            <w:pPr>
              <w:jc w:val="center"/>
              <w:rPr>
                <w:b/>
                <w:sz w:val="36"/>
                <w:szCs w:val="36"/>
              </w:rPr>
            </w:pPr>
            <w:r w:rsidRPr="00821EC0">
              <w:rPr>
                <w:b/>
                <w:sz w:val="36"/>
                <w:szCs w:val="36"/>
              </w:rPr>
              <w:t xml:space="preserve">Время приема: Понедельник, среда, пятница </w:t>
            </w:r>
          </w:p>
          <w:p w:rsidR="00821EC0" w:rsidRPr="00821EC0" w:rsidRDefault="00821EC0" w:rsidP="00821EC0">
            <w:pPr>
              <w:jc w:val="center"/>
              <w:rPr>
                <w:b/>
                <w:sz w:val="36"/>
                <w:szCs w:val="36"/>
              </w:rPr>
            </w:pPr>
            <w:r w:rsidRPr="00821EC0">
              <w:rPr>
                <w:b/>
                <w:sz w:val="36"/>
                <w:szCs w:val="36"/>
              </w:rPr>
              <w:t>08.00 - 13.00, 14.00-17.00</w:t>
            </w:r>
          </w:p>
          <w:p w:rsidR="00821EC0" w:rsidRPr="00821EC0" w:rsidRDefault="00821EC0" w:rsidP="00821EC0">
            <w:pPr>
              <w:jc w:val="center"/>
              <w:rPr>
                <w:b/>
                <w:sz w:val="36"/>
                <w:szCs w:val="36"/>
              </w:rPr>
            </w:pPr>
            <w:r w:rsidRPr="00821EC0">
              <w:rPr>
                <w:b/>
                <w:sz w:val="36"/>
                <w:szCs w:val="36"/>
              </w:rPr>
              <w:t>Вторник, четверг 08.00-20.00</w:t>
            </w:r>
          </w:p>
          <w:p w:rsidR="00821EC0" w:rsidRDefault="00591D8B" w:rsidP="00821EC0">
            <w:pPr>
              <w:jc w:val="both"/>
              <w:rPr>
                <w:b/>
                <w:sz w:val="36"/>
                <w:szCs w:val="36"/>
              </w:rPr>
            </w:pPr>
            <w:r w:rsidRPr="00446D5E">
              <w:rPr>
                <w:b/>
                <w:spacing w:val="-20"/>
                <w:sz w:val="36"/>
                <w:szCs w:val="36"/>
              </w:rPr>
              <w:t>Контактное лицо:</w:t>
            </w:r>
            <w:r>
              <w:rPr>
                <w:b/>
                <w:spacing w:val="-20"/>
                <w:sz w:val="36"/>
                <w:szCs w:val="36"/>
              </w:rPr>
              <w:t xml:space="preserve"> </w:t>
            </w:r>
            <w:r w:rsidR="00821EC0" w:rsidRPr="00821EC0">
              <w:rPr>
                <w:b/>
                <w:sz w:val="36"/>
                <w:szCs w:val="36"/>
              </w:rPr>
              <w:t xml:space="preserve">старший инспектор отдела по работе с обращениями граждан и юридических лиц </w:t>
            </w:r>
          </w:p>
          <w:p w:rsidR="00821EC0" w:rsidRPr="00821EC0" w:rsidRDefault="00821EC0" w:rsidP="00821EC0">
            <w:pPr>
              <w:jc w:val="both"/>
              <w:rPr>
                <w:b/>
                <w:sz w:val="36"/>
                <w:szCs w:val="36"/>
              </w:rPr>
            </w:pPr>
            <w:proofErr w:type="spellStart"/>
            <w:r w:rsidRPr="00821EC0">
              <w:rPr>
                <w:b/>
                <w:sz w:val="36"/>
                <w:szCs w:val="36"/>
              </w:rPr>
              <w:t>Сидорук</w:t>
            </w:r>
            <w:proofErr w:type="spellEnd"/>
            <w:r w:rsidRPr="00821EC0">
              <w:rPr>
                <w:b/>
                <w:sz w:val="36"/>
                <w:szCs w:val="36"/>
              </w:rPr>
              <w:t xml:space="preserve"> Нина Николаевна (служба «Одно окно», телефон  </w:t>
            </w:r>
            <w:r>
              <w:rPr>
                <w:b/>
                <w:sz w:val="36"/>
                <w:szCs w:val="36"/>
              </w:rPr>
              <w:t xml:space="preserve"> </w:t>
            </w:r>
            <w:r w:rsidRPr="00821EC0">
              <w:rPr>
                <w:b/>
                <w:sz w:val="36"/>
                <w:szCs w:val="36"/>
              </w:rPr>
              <w:t>31-64-18);</w:t>
            </w:r>
          </w:p>
          <w:p w:rsidR="00591D8B" w:rsidRPr="00591D8B" w:rsidRDefault="00591D8B" w:rsidP="00591D8B">
            <w:pPr>
              <w:spacing w:after="0" w:line="240" w:lineRule="auto"/>
              <w:jc w:val="center"/>
              <w:rPr>
                <w:sz w:val="28"/>
                <w:szCs w:val="28"/>
              </w:rPr>
            </w:pPr>
            <w:r w:rsidRPr="00446D5E">
              <w:rPr>
                <w:b/>
                <w:spacing w:val="-20"/>
                <w:sz w:val="36"/>
                <w:szCs w:val="36"/>
              </w:rPr>
              <w:t>в случае отсутствия –</w:t>
            </w:r>
            <w:r>
              <w:rPr>
                <w:b/>
                <w:spacing w:val="-20"/>
                <w:sz w:val="36"/>
                <w:szCs w:val="36"/>
              </w:rPr>
              <w:t xml:space="preserve"> </w:t>
            </w:r>
            <w:r w:rsidR="00821EC0">
              <w:rPr>
                <w:b/>
                <w:sz w:val="36"/>
                <w:szCs w:val="36"/>
              </w:rPr>
              <w:t xml:space="preserve">специалист службы «одно окно» </w:t>
            </w:r>
            <w:proofErr w:type="spellStart"/>
            <w:r w:rsidR="00821EC0" w:rsidRPr="00821EC0">
              <w:rPr>
                <w:b/>
                <w:sz w:val="36"/>
                <w:szCs w:val="36"/>
              </w:rPr>
              <w:t>Головчик</w:t>
            </w:r>
            <w:proofErr w:type="spellEnd"/>
            <w:r w:rsidR="00821EC0" w:rsidRPr="00821EC0">
              <w:rPr>
                <w:b/>
                <w:sz w:val="36"/>
                <w:szCs w:val="36"/>
              </w:rPr>
              <w:t xml:space="preserve"> Татьяна Васильевна (1 этаж, телефон 31-70-12).</w:t>
            </w:r>
          </w:p>
        </w:tc>
      </w:tr>
    </w:tbl>
    <w:p w:rsidR="00F26A3F" w:rsidRDefault="00F26A3F" w:rsidP="00F26A3F"/>
    <w:p w:rsidR="001870A4" w:rsidRDefault="001870A4"/>
    <w:sectPr w:rsidR="001870A4" w:rsidSect="008B3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26A3F"/>
    <w:rsid w:val="001870A4"/>
    <w:rsid w:val="00591D8B"/>
    <w:rsid w:val="005B0498"/>
    <w:rsid w:val="0072468B"/>
    <w:rsid w:val="00821EC0"/>
    <w:rsid w:val="008B38EE"/>
    <w:rsid w:val="008C068C"/>
    <w:rsid w:val="00BE7C68"/>
    <w:rsid w:val="00F01B07"/>
    <w:rsid w:val="00F26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26A3F"/>
    <w:rPr>
      <w:color w:val="0038C8"/>
      <w:u w:val="single"/>
    </w:rPr>
  </w:style>
  <w:style w:type="paragraph" w:customStyle="1" w:styleId="titleu">
    <w:name w:val="titleu"/>
    <w:basedOn w:val="a"/>
    <w:rsid w:val="00F26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E7C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BE7C68"/>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013652030">
      <w:bodyDiv w:val="1"/>
      <w:marLeft w:val="0"/>
      <w:marRight w:val="0"/>
      <w:marTop w:val="0"/>
      <w:marBottom w:val="0"/>
      <w:divBdr>
        <w:top w:val="none" w:sz="0" w:space="0" w:color="auto"/>
        <w:left w:val="none" w:sz="0" w:space="0" w:color="auto"/>
        <w:bottom w:val="none" w:sz="0" w:space="0" w:color="auto"/>
        <w:right w:val="none" w:sz="0" w:space="0" w:color="auto"/>
      </w:divBdr>
    </w:div>
    <w:div w:id="19453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Gbinfo_u\&#1043;&#1072;&#1085;&#1077;&#1085;&#1082;&#1086;&#1069;&#1042;\Temp\21992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4358</Characters>
  <Application>Microsoft Office Word</Application>
  <DocSecurity>0</DocSecurity>
  <Lines>36</Lines>
  <Paragraphs>10</Paragraphs>
  <ScaleCrop>false</ScaleCrop>
  <Company>SPecialiST RePack</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2019-03-21T11:50:00Z</dcterms:created>
  <dcterms:modified xsi:type="dcterms:W3CDTF">2019-04-11T07:04:00Z</dcterms:modified>
</cp:coreProperties>
</file>