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87" w:rsidRPr="009E1F87" w:rsidRDefault="009E1F87" w:rsidP="009E1F87">
      <w:pPr>
        <w:ind w:left="-851" w:right="-143"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b/>
          <w:color w:val="000000"/>
          <w:sz w:val="28"/>
          <w:szCs w:val="28"/>
        </w:rPr>
        <w:t>Об ускоренном развитии отдельных административно-территориальных единиц</w:t>
      </w:r>
    </w:p>
    <w:p w:rsidR="009E1F87" w:rsidRPr="009E1F87" w:rsidRDefault="009E1F87" w:rsidP="009E1F87">
      <w:pPr>
        <w:ind w:left="-851" w:right="-143" w:firstLine="851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b/>
          <w:i/>
          <w:color w:val="000000"/>
          <w:sz w:val="28"/>
          <w:szCs w:val="28"/>
        </w:rPr>
        <w:t>Умный регион</w:t>
      </w:r>
    </w:p>
    <w:p w:rsidR="009E1F87" w:rsidRDefault="009E1F87" w:rsidP="009E1F8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Совета Министров Республики Беларусь №627 от 18.09.2019 «Об ускоренном развитии отдельных административно-территориальных единиц» определена необходимость создания условий и принятие мер для ускоренного социально-экономического развития ряда административно-территориальных единиц: </w:t>
      </w:r>
    </w:p>
    <w:p w:rsidR="009E1F87" w:rsidRDefault="009E1F87" w:rsidP="009E1F87">
      <w:pPr>
        <w:spacing w:after="0"/>
        <w:ind w:left="-851"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- город Барановичи и </w:t>
      </w:r>
      <w:proofErr w:type="spellStart"/>
      <w:r w:rsidRPr="009E1F87">
        <w:rPr>
          <w:rFonts w:ascii="Times New Roman" w:hAnsi="Times New Roman" w:cs="Times New Roman"/>
          <w:color w:val="000000"/>
          <w:sz w:val="28"/>
          <w:szCs w:val="28"/>
        </w:rPr>
        <w:t>Барановичский</w:t>
      </w:r>
      <w:proofErr w:type="spellEnd"/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 район; </w:t>
      </w:r>
    </w:p>
    <w:p w:rsidR="009E1F87" w:rsidRDefault="009E1F87" w:rsidP="009E1F87">
      <w:pPr>
        <w:spacing w:after="0"/>
        <w:ind w:left="-851"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- город Пинск и </w:t>
      </w:r>
      <w:proofErr w:type="spellStart"/>
      <w:r w:rsidRPr="009E1F87">
        <w:rPr>
          <w:rFonts w:ascii="Times New Roman" w:hAnsi="Times New Roman" w:cs="Times New Roman"/>
          <w:color w:val="000000"/>
          <w:sz w:val="28"/>
          <w:szCs w:val="28"/>
        </w:rPr>
        <w:t>Пинский</w:t>
      </w:r>
      <w:proofErr w:type="spellEnd"/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 район; - город Новополоцк;</w:t>
      </w:r>
    </w:p>
    <w:p w:rsidR="009E1F87" w:rsidRDefault="009E1F87" w:rsidP="009E1F87">
      <w:pPr>
        <w:spacing w:after="0"/>
        <w:ind w:left="-851"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>- Полоцкий район;</w:t>
      </w:r>
    </w:p>
    <w:p w:rsidR="009E1F87" w:rsidRDefault="009E1F87" w:rsidP="009E1F87">
      <w:pPr>
        <w:spacing w:after="0"/>
        <w:ind w:left="-851"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E1F87">
        <w:rPr>
          <w:rFonts w:ascii="Times New Roman" w:hAnsi="Times New Roman" w:cs="Times New Roman"/>
          <w:color w:val="000000"/>
          <w:sz w:val="28"/>
          <w:szCs w:val="28"/>
        </w:rPr>
        <w:t>Мозырский</w:t>
      </w:r>
      <w:proofErr w:type="spellEnd"/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 район; </w:t>
      </w:r>
    </w:p>
    <w:p w:rsidR="009E1F87" w:rsidRDefault="009E1F87" w:rsidP="009E1F87">
      <w:pPr>
        <w:spacing w:after="0"/>
        <w:ind w:left="-851"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E1F87">
        <w:rPr>
          <w:rFonts w:ascii="Times New Roman" w:hAnsi="Times New Roman" w:cs="Times New Roman"/>
          <w:color w:val="000000"/>
          <w:sz w:val="28"/>
          <w:szCs w:val="28"/>
        </w:rPr>
        <w:t>Лидский</w:t>
      </w:r>
      <w:proofErr w:type="spellEnd"/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 район; </w:t>
      </w:r>
    </w:p>
    <w:p w:rsidR="009E1F87" w:rsidRDefault="009E1F87" w:rsidP="009E1F87">
      <w:pPr>
        <w:spacing w:after="0"/>
        <w:ind w:left="-851"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E1F87">
        <w:rPr>
          <w:rFonts w:ascii="Times New Roman" w:hAnsi="Times New Roman" w:cs="Times New Roman"/>
          <w:color w:val="000000"/>
          <w:sz w:val="28"/>
          <w:szCs w:val="28"/>
        </w:rPr>
        <w:t>Борисовский</w:t>
      </w:r>
      <w:proofErr w:type="spellEnd"/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 район; </w:t>
      </w:r>
    </w:p>
    <w:p w:rsidR="009E1F87" w:rsidRDefault="009E1F87" w:rsidP="009E1F87">
      <w:pPr>
        <w:spacing w:after="0"/>
        <w:ind w:left="-851"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E1F87">
        <w:rPr>
          <w:rFonts w:ascii="Times New Roman" w:hAnsi="Times New Roman" w:cs="Times New Roman"/>
          <w:color w:val="000000"/>
          <w:sz w:val="28"/>
          <w:szCs w:val="28"/>
        </w:rPr>
        <w:t>Молодечненский</w:t>
      </w:r>
      <w:proofErr w:type="spellEnd"/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 район; </w:t>
      </w:r>
    </w:p>
    <w:p w:rsidR="009E1F87" w:rsidRDefault="009E1F87" w:rsidP="009E1F87">
      <w:pPr>
        <w:spacing w:after="0"/>
        <w:ind w:left="-851"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E1F87">
        <w:rPr>
          <w:rFonts w:ascii="Times New Roman" w:hAnsi="Times New Roman" w:cs="Times New Roman"/>
          <w:color w:val="000000"/>
          <w:sz w:val="28"/>
          <w:szCs w:val="28"/>
        </w:rPr>
        <w:t>Солигорский</w:t>
      </w:r>
      <w:proofErr w:type="spellEnd"/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 район;</w:t>
      </w:r>
    </w:p>
    <w:p w:rsidR="009E1F87" w:rsidRDefault="009E1F87" w:rsidP="009E1F87">
      <w:pPr>
        <w:spacing w:after="0"/>
        <w:ind w:left="-851"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 - город Бобруйск и </w:t>
      </w:r>
      <w:proofErr w:type="spellStart"/>
      <w:r w:rsidRPr="009E1F87">
        <w:rPr>
          <w:rFonts w:ascii="Times New Roman" w:hAnsi="Times New Roman" w:cs="Times New Roman"/>
          <w:color w:val="000000"/>
          <w:sz w:val="28"/>
          <w:szCs w:val="28"/>
        </w:rPr>
        <w:t>Бобруйский</w:t>
      </w:r>
      <w:proofErr w:type="spellEnd"/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 район. </w:t>
      </w:r>
    </w:p>
    <w:p w:rsidR="006F12E7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>Этот документ развивает региональную политику по ускоренному развитию регионов, являющихся потенциальными центрами экономического роста, определенную в Постановлении Совета Министров Республики Беларусь от 31.10.2018 № 774. Согласно замыслу, в этих регионах планируется поднять уровень средней заработной платы, увеличить инвестиции в основной капитал и выручку от продажи товаров и услуг, а также увеличить собственные доходы местных бюджетов.</w:t>
      </w:r>
    </w:p>
    <w:p w:rsidR="006F12E7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 Также планируется добиться увеличения количества занятого в экономике населения. Во исполнение Поручения Президента Республики Беларусь, данного </w:t>
      </w:r>
      <w:r w:rsidR="006F12E7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19 апреля 2019 г. во время Послания белорусскому народу и Национальному собранию Республики Беларусь, разработаны и утверждены решениями соответствующих облисполкомов Комплексные планы ускоренного развития указанных административно-территориальных единиц, одним из мероприятий которого является разработка и реализация концепции «Умный город». </w:t>
      </w:r>
    </w:p>
    <w:p w:rsidR="00C046E8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«Умный город» – система, интегрирующая «умные» решения и организационные мероприятия для управления городским имуществом (активами) на основе современных ИКТ в целях улучшения качества жизни и удовлетворения нужд горожан, государственного и частного бизнеса, органов местного управления. «Умные» решения представляют собой электронные сервисы, предоставляющие потребителям необходимый функционал по доступу к информации и услугам, а также упрощающие взаимодействие между жителями, бизнесом и местной администрацией. «Умный город» – это не самоцель, он должен служить </w:t>
      </w:r>
      <w:r w:rsidRPr="009E1F8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инструментом для повышения уровня и качества жизни людей, для развития экономики, социальной сферы, культуры и искусства. </w:t>
      </w:r>
    </w:p>
    <w:p w:rsidR="00C046E8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E1F87">
        <w:rPr>
          <w:rFonts w:ascii="Times New Roman" w:hAnsi="Times New Roman" w:cs="Times New Roman"/>
          <w:color w:val="000000"/>
          <w:sz w:val="28"/>
          <w:szCs w:val="28"/>
        </w:rPr>
        <w:t>В соответствии со стратегией развития информатизации в Республике Беларусь на 2016 – 2022 годы, одобренной Президиумом Совета Министров Республики Беларусь (протокол от 3 ноября 2015 г. № 26), и постановлением Совета Министров Республики Беларусь от 23 марта 2016 г. № 235 «Об утверждении Государственной программы развития цифровой экономики и информационного общества на 2016 – 2020 годы», Министерством связи и информатизации Республики Беларусь разработана и</w:t>
      </w:r>
      <w:proofErr w:type="gramEnd"/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 5 июня 2019 г. утверждена Типовая концепция развития «умных городов» в Республике Беларусь. Особенностью данной концепции является ее распространение на целые регионы (административно – территориальные единицы). </w:t>
      </w:r>
    </w:p>
    <w:p w:rsidR="00C046E8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«Умный регион» рассматривается как территория инновационного развития, использующая цифровые технологии для повышения уровня жизни, эффективности человеческой деятельности и конкурентоспособности экономики, при обеспечении удовлетворения потребностей настоящего и будущих поколений в устойчивом развитии. Иными словами, «умный регион» – современное и технологичное пространство с единой информационной средой, в котором жителям будет удобно и приятно жить, бизнесу – активно развиваться, а местной администрации – своевременно и качественно решать задачи управления своими активами в интересах граждан и при их активном участии. </w:t>
      </w:r>
    </w:p>
    <w:p w:rsidR="00C046E8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>Развитие «умных регионов» предполаг</w:t>
      </w:r>
      <w:r w:rsidR="00C046E8">
        <w:rPr>
          <w:rFonts w:ascii="Times New Roman" w:hAnsi="Times New Roman" w:cs="Times New Roman"/>
          <w:color w:val="000000"/>
          <w:sz w:val="28"/>
          <w:szCs w:val="28"/>
        </w:rPr>
        <w:t>ается по следующим направлениям:</w:t>
      </w:r>
    </w:p>
    <w:p w:rsidR="0085187D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Управление развитием региона путем внедрения автоматизированной информационно-управляющей системы, интегрированной с платформой активного вовлечения населения в решение вопросов регионального развития, в том числе путем оценки решений местных администраций, а также размещения идей и предложений по региональным проектам. </w:t>
      </w:r>
    </w:p>
    <w:p w:rsidR="0085187D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Жилищно-коммунальное хозяйство и распоряжение имуществом – предполагается внедрение систем автоматического учета потребления ресурсов, контроля технического состояния объектов инфраструктуры, сервисов информирования населения и сбора отзывов о работе коммунальных служб, сервисов по упрощению процессов распоряжения недвижимым имуществом и др. </w:t>
      </w:r>
    </w:p>
    <w:p w:rsidR="0085187D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Топливно-энергетический комплекс – оптимизации процессов потребления и учета энергии, ее генерации с наименьшими затратами и выбросами в окружающую среду. </w:t>
      </w:r>
    </w:p>
    <w:p w:rsidR="0085187D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Городское планирование и строительство – рациональное развитие инфраструктуры на основе актуализированных </w:t>
      </w:r>
      <w:proofErr w:type="spellStart"/>
      <w:r w:rsidRPr="009E1F87">
        <w:rPr>
          <w:rFonts w:ascii="Times New Roman" w:hAnsi="Times New Roman" w:cs="Times New Roman"/>
          <w:color w:val="000000"/>
          <w:sz w:val="28"/>
          <w:szCs w:val="28"/>
        </w:rPr>
        <w:t>геопространственных</w:t>
      </w:r>
      <w:proofErr w:type="spellEnd"/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 данных в совокупности с объективной информацией об объектах. </w:t>
      </w:r>
    </w:p>
    <w:p w:rsidR="0085187D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Управление объектами инфраструктуры – внедрение разнообразных сервисов по мониторингу и управлению социально значимыми услугами: уличным освещением, ливневой канализацией, общественными парковками, работой дорожных служб и многими другими. </w:t>
      </w:r>
    </w:p>
    <w:p w:rsidR="0085187D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Общественная безопасность – развитие систем видеонаблюдения, мониторинга и своевременного оповещения населения о чрезвычайных ситуациях и т.п. </w:t>
      </w:r>
    </w:p>
    <w:p w:rsidR="005B49B0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Общественный и личный транспорт – обеспечение повышения уровня доступности, качества и безопасности транспортных услуг и передвижения на личном транспорте, а также оптимизация затрат на управление транспортной инфраструктурой путем </w:t>
      </w:r>
      <w:proofErr w:type="spellStart"/>
      <w:r w:rsidRPr="009E1F87">
        <w:rPr>
          <w:rFonts w:ascii="Times New Roman" w:hAnsi="Times New Roman" w:cs="Times New Roman"/>
          <w:color w:val="000000"/>
          <w:sz w:val="28"/>
          <w:szCs w:val="28"/>
        </w:rPr>
        <w:t>цифровизации</w:t>
      </w:r>
      <w:proofErr w:type="spellEnd"/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транспортной инфраструктуры («умные» остановки и светофоры, контроль движения общественного транспорта и электронный сбор оплаты за проезд в нем, </w:t>
      </w:r>
      <w:proofErr w:type="spellStart"/>
      <w:r w:rsidRPr="009E1F87">
        <w:rPr>
          <w:rFonts w:ascii="Times New Roman" w:hAnsi="Times New Roman" w:cs="Times New Roman"/>
          <w:color w:val="000000"/>
          <w:sz w:val="28"/>
          <w:szCs w:val="28"/>
        </w:rPr>
        <w:t>фото-видеофиксация</w:t>
      </w:r>
      <w:proofErr w:type="spellEnd"/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нарушения правил дорожного движения, сервисы заказа такси и аренды автомобилей, велосипедов и т</w:t>
      </w:r>
      <w:proofErr w:type="gramEnd"/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.п.). </w:t>
      </w:r>
    </w:p>
    <w:p w:rsidR="005B49B0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>Здравоохранение и социальная защита населения. В сфере здравоохранения с помощью информационных технологий планируется решить задачи по гарантированию гражданам доступной и качественной медицинской помощи, а также превентивности диагностирования заболеваний и безопасности здоровья путем применения интеллектуальных систем для дистанционного мониторинга здоровья, использования электронных медицинских карт и технологий обработки больших данных на уровне диагностики и лечения пациентов. В области социальной защиты получат развитие сервисы по оформлению медицинских и иных видов страховых полисов, пособий и социальных выплат, и других услуг в электронном виде.</w:t>
      </w:r>
    </w:p>
    <w:p w:rsidR="005B49B0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Образование – развитие системы подготовки кадров и повышения квалификации с широким применением электронных средств обучения и сервисов (в том числе дистанционного обучения) и обеспечение оперативной адаптации учебных материалов к стремительному развитию информационных технологий. </w:t>
      </w:r>
    </w:p>
    <w:p w:rsidR="005B49B0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Культура, туризм – развитие интерактивных способов презентации объектов и мероприятий, электронных сервисов-гидов по достопримечательностям, музеям и другим объектам культурного и исторического наследия (включая аудио и видео экскурсии по ним), интеграция с сервисами в области транспорта, общественного питания и гостиничного бизнеса. </w:t>
      </w:r>
    </w:p>
    <w:p w:rsidR="005B49B0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Жизнедеятельность и досуг граждан – развитие единого информационного пространства региона, обеспечивающего доступ населению к интересующей информации и местным новостям, дистанционного приобретения товаров и оплаты услуг, переход к оказанию государственных услуг и административных процедур в электронном виде. </w:t>
      </w:r>
    </w:p>
    <w:p w:rsidR="005B49B0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Экология – использование экологических карт региона и сервисов на их основе (публичный мониторинг качества воды, воздуха, состояния флоры и фауны, уровня шума, загруженности дорог и т.д.). </w:t>
      </w:r>
    </w:p>
    <w:p w:rsidR="00A519EB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Приведенные направления и примеры совершенствования процессов не являются конечным перечнем технологий «умного региона». Едва ли не каждый день в мире появляются новые решения. Обладая необходимой инфраструктурой, кадровыми и материальными ресурсами, каждая административно-территориальная единица может инициировать и собственные инновации в части цифровых преобразований. В целом реализуемые решения по развитию «умного региона» должны быть ориентированы на упрощение и повышение качества протекающих в регионе </w:t>
      </w:r>
      <w:proofErr w:type="gramStart"/>
      <w:r w:rsidRPr="009E1F87">
        <w:rPr>
          <w:rFonts w:ascii="Times New Roman" w:hAnsi="Times New Roman" w:cs="Times New Roman"/>
          <w:color w:val="000000"/>
          <w:sz w:val="28"/>
          <w:szCs w:val="28"/>
        </w:rPr>
        <w:t>процессов</w:t>
      </w:r>
      <w:proofErr w:type="gramEnd"/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части: </w:t>
      </w:r>
    </w:p>
    <w:p w:rsidR="00A519EB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совершенствования механизмов местного управления; </w:t>
      </w:r>
    </w:p>
    <w:p w:rsidR="00A519EB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формирования благоприятных условий жизнедеятельности и ведения предпринимательской деятельности; </w:t>
      </w:r>
    </w:p>
    <w:p w:rsidR="00A519EB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создания условий для экономии расходования энергоресурсов; </w:t>
      </w:r>
    </w:p>
    <w:p w:rsidR="00A519EB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>улучшения экологической обстановки; повышения уровня безопасности жизни и готовности служб к оперативному реагированию на чрезвычайные ситуации;</w:t>
      </w:r>
    </w:p>
    <w:p w:rsidR="00A519EB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 укрепления инновационного и экономического потенциала региона;</w:t>
      </w:r>
    </w:p>
    <w:p w:rsidR="00A519EB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повышения уровня удовлетворенности граждан работой различных служб, в том числе посредством их активного вовлечения в принятие решений по развитию региона. </w:t>
      </w:r>
    </w:p>
    <w:p w:rsidR="00011426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Залогом успеха в данном направлении является наличие понимания у руководства административно-территориальной единицы, что такие преобразования – наиболее эффективный путь развития, целей и задач внедрения технологий «умного региона», а также устранение препятствий по внедрению «умных» решений. </w:t>
      </w:r>
    </w:p>
    <w:p w:rsidR="00011426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>Для того</w:t>
      </w:r>
      <w:proofErr w:type="gramStart"/>
      <w:r w:rsidRPr="009E1F87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 чтобы цифровые преобразования регионального развития в белорусских условиях осуществлялись более динамично, необходимо: </w:t>
      </w:r>
    </w:p>
    <w:p w:rsidR="00011426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наличие в местном управлении кадров, обладающих знаниями и практическим опытом планирования и проведения работы по информатизации на уровне регионов в целях их развития; </w:t>
      </w:r>
    </w:p>
    <w:p w:rsidR="00011426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в комплексных планах развития административно-территориальных единиц рассматривать информатизацию в качестве приоритетного направления и (или) источника эффективного развития; </w:t>
      </w:r>
    </w:p>
    <w:p w:rsidR="00011426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информировать население о возможных решениях «умного региона» и ожидаемых эффектах от их внедрения, учесть мнение жителей о целесообразности тех или иных «умных» решений и особенностях их реализации. </w:t>
      </w:r>
    </w:p>
    <w:p w:rsidR="008C609D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Вместе с тем, в настоящее время цифровые преобразования регионального развития в белорусских условиях осуществляется </w:t>
      </w:r>
      <w:proofErr w:type="gramStart"/>
      <w:r w:rsidRPr="009E1F87">
        <w:rPr>
          <w:rFonts w:ascii="Times New Roman" w:hAnsi="Times New Roman" w:cs="Times New Roman"/>
          <w:color w:val="000000"/>
          <w:sz w:val="28"/>
          <w:szCs w:val="28"/>
        </w:rPr>
        <w:t>медленно</w:t>
      </w:r>
      <w:proofErr w:type="gramEnd"/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 и основываются </w:t>
      </w:r>
      <w:r w:rsidRPr="009E1F8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преимущественно на решениях, инициированных на республиканском уровне. К основным причинам подобной ситуации представляется возможным отнести:</w:t>
      </w:r>
    </w:p>
    <w:p w:rsidR="008C609D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 в местном управлении кадров, обладающих знаниями и практическим опытом планирования и проведения работы по информатизации на уровне регионов в целях их развития; </w:t>
      </w:r>
    </w:p>
    <w:p w:rsidR="008C609D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в комплексных планах развития административно-территориальных единиц информатизация не рассматривается в качестве приоритетного направления и (или) источника эффективного развития; </w:t>
      </w:r>
    </w:p>
    <w:p w:rsidR="008C609D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концентрация на решении проблем регионов традиционными способами, актуальными для этапа индустриального способа развития; </w:t>
      </w:r>
    </w:p>
    <w:p w:rsidR="008C609D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недостаточная информированность населения о возможных решениях «умного региона» и ожидаемых эффектах от их внедрения, отсутствие механизмов учета мнения жителей о целесообразности тех или иных «умных» решениях и особенностях их реализации. </w:t>
      </w:r>
    </w:p>
    <w:p w:rsidR="007E628F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>В настоящее время в соответствии с постановлением Совета Министров Республики Беларусь от 18 мая 2020 г. № 293 по поручению Министерства связи и информатизации Республики Беларусь ОАО «</w:t>
      </w:r>
      <w:proofErr w:type="spellStart"/>
      <w:r w:rsidRPr="009E1F87">
        <w:rPr>
          <w:rFonts w:ascii="Times New Roman" w:hAnsi="Times New Roman" w:cs="Times New Roman"/>
          <w:color w:val="000000"/>
          <w:sz w:val="28"/>
          <w:szCs w:val="28"/>
        </w:rPr>
        <w:t>Гипросвязь</w:t>
      </w:r>
      <w:proofErr w:type="spellEnd"/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» выполняется адаптация Типовой концепции развития «умных городов» в Республике Беларусь для указанных выше административно-территориальных единиц. </w:t>
      </w:r>
      <w:proofErr w:type="gramStart"/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будут разработаны уточненные концепции развития «умных» административно-территориальных единиц, включая «дорожную карту» реализации концепций, содержащую перечень планируемых мероприятий (внедряемых «умных» решений) и ожидаемые результаты. </w:t>
      </w:r>
      <w:proofErr w:type="gramEnd"/>
    </w:p>
    <w:p w:rsidR="007E628F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E1F87">
        <w:rPr>
          <w:rFonts w:ascii="Times New Roman" w:hAnsi="Times New Roman" w:cs="Times New Roman"/>
          <w:color w:val="000000"/>
          <w:sz w:val="28"/>
          <w:szCs w:val="28"/>
        </w:rPr>
        <w:t>В процессе формирования перечня внедряемых «умных» решений необходимо учитывать наличие подобных решений, внедряемых на республиканском и областных уровнях, особенности развития каждой административно-территориальной единицы, имеющиеся потребности (жителей, бизнеса и органов местного управления), потенциальные «точки роста» региона и наличие необходимых условий для адаптации его жителей к новым условиям.</w:t>
      </w:r>
      <w:proofErr w:type="gramEnd"/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E1F87">
        <w:rPr>
          <w:rFonts w:ascii="Times New Roman" w:hAnsi="Times New Roman" w:cs="Times New Roman"/>
          <w:color w:val="000000"/>
          <w:sz w:val="28"/>
          <w:szCs w:val="28"/>
        </w:rPr>
        <w:t>При отборе «умных» решений для включения их в планируемую «дорожную карту» будут учтены их важность для регионального социума в целом, социальная направленность, степень удовлетворения конкретных потребностей, возможность привлечения сторонних источников финансирования, наличие потенциальных исполнителей, степень интеграции с другими «умными» решениями, ожидаемые сроки реализации, состояние существующей нормативной правовой базы, имеющийся и планируемый уровни развития информационно-коммуникационной инфраструктуры в регионе, мнение жителей об</w:t>
      </w:r>
      <w:proofErr w:type="gramEnd"/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 актуальности, целесообразности и важности предлагаемых решений, готовность населения, бизнеса и администрации региона к их внедрению и другие существенные факторы. Окончательный отбор решений, включаемых в «дорожную </w:t>
      </w:r>
      <w:r w:rsidRPr="009E1F8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карту», будет произведен по результатам широкого обсуждения, оценки и согласования с последующим утверждением документа руководителем административно-территориальной единицы. </w:t>
      </w:r>
    </w:p>
    <w:p w:rsidR="007E628F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Потенциальные «точки роста» в регионе определяются наличием неиспользуемых или используемых неэффективно ресурсов (людских, материальных), которые могут быть эффективно использованы в производстве товаров или услуг с применением современных ИКТ. </w:t>
      </w:r>
      <w:proofErr w:type="gramStart"/>
      <w:r w:rsidRPr="009E1F87">
        <w:rPr>
          <w:rFonts w:ascii="Times New Roman" w:hAnsi="Times New Roman" w:cs="Times New Roman"/>
          <w:color w:val="000000"/>
          <w:sz w:val="28"/>
          <w:szCs w:val="28"/>
        </w:rPr>
        <w:t>Поиск таких потенциальных «точек роста» требует наличия полной и достоверной информации о занятости населения в регионе, уровне квалификации потенциальных работников и возможности их обучения, наличии свободных (не используемых в производстве) площадей, состояния транспортных коммуникаций, залежей полезных ископаемых, возможностей по производству предприятиями промышленности и сельского хозяйства различных видов продукции, наличия и специфику учреждений высшего и среднего специального образования, существующей специализации региона</w:t>
      </w:r>
      <w:proofErr w:type="gramEnd"/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 на производстве конкретных видов продукции и других факторов. </w:t>
      </w:r>
    </w:p>
    <w:p w:rsidR="006F12E7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В целях учета мнения населения и </w:t>
      </w:r>
      <w:proofErr w:type="spellStart"/>
      <w:r w:rsidRPr="009E1F87">
        <w:rPr>
          <w:rFonts w:ascii="Times New Roman" w:hAnsi="Times New Roman" w:cs="Times New Roman"/>
          <w:color w:val="000000"/>
          <w:sz w:val="28"/>
          <w:szCs w:val="28"/>
        </w:rPr>
        <w:t>бизнес-сообщества</w:t>
      </w:r>
      <w:proofErr w:type="spellEnd"/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 региона о актуальности, целесообразности и важности возможных «умных» решений, существующих неудовлетворенных потребностях жителей и </w:t>
      </w:r>
      <w:proofErr w:type="spellStart"/>
      <w:r w:rsidRPr="009E1F87">
        <w:rPr>
          <w:rFonts w:ascii="Times New Roman" w:hAnsi="Times New Roman" w:cs="Times New Roman"/>
          <w:color w:val="000000"/>
          <w:sz w:val="28"/>
          <w:szCs w:val="28"/>
        </w:rPr>
        <w:t>бизнес-сообщества</w:t>
      </w:r>
      <w:proofErr w:type="spellEnd"/>
      <w:r w:rsidRPr="009E1F87">
        <w:rPr>
          <w:rFonts w:ascii="Times New Roman" w:hAnsi="Times New Roman" w:cs="Times New Roman"/>
          <w:color w:val="000000"/>
          <w:sz w:val="28"/>
          <w:szCs w:val="28"/>
        </w:rPr>
        <w:t>, наличии потенциальных «точек роста», а также иных возможностях, позволяющих организовать производство товаров или услуг с высокой добавленной стоимостью на основе современных ИКТ, руководство ОАО «</w:t>
      </w:r>
      <w:proofErr w:type="spellStart"/>
      <w:r w:rsidRPr="009E1F87">
        <w:rPr>
          <w:rFonts w:ascii="Times New Roman" w:hAnsi="Times New Roman" w:cs="Times New Roman"/>
          <w:color w:val="000000"/>
          <w:sz w:val="28"/>
          <w:szCs w:val="28"/>
        </w:rPr>
        <w:t>Гипросвязь</w:t>
      </w:r>
      <w:proofErr w:type="spellEnd"/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» просит заинтересованных лиц сообщить свое мнение в произвольной форме по электронной почте </w:t>
      </w:r>
      <w:hyperlink r:id="rId4" w:history="1">
        <w:r w:rsidR="006F12E7" w:rsidRPr="00767FB6">
          <w:rPr>
            <w:rStyle w:val="a3"/>
            <w:rFonts w:ascii="Times New Roman" w:hAnsi="Times New Roman" w:cs="Times New Roman"/>
            <w:sz w:val="28"/>
            <w:szCs w:val="28"/>
          </w:rPr>
          <w:t>aup@giprosvjaz.by</w:t>
        </w:r>
      </w:hyperlink>
      <w:r w:rsidR="006F12E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12E7" w:rsidRDefault="009E1F87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Источник: официальный сайт </w:t>
      </w:r>
      <w:proofErr w:type="spellStart"/>
      <w:r w:rsidR="006F12E7">
        <w:rPr>
          <w:rFonts w:ascii="Times New Roman" w:hAnsi="Times New Roman" w:cs="Times New Roman"/>
          <w:color w:val="000000"/>
          <w:sz w:val="28"/>
          <w:szCs w:val="28"/>
        </w:rPr>
        <w:t>Пинского</w:t>
      </w:r>
      <w:proofErr w:type="spellEnd"/>
      <w:r w:rsidR="006F12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E1F87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исполнительного комитета, </w:t>
      </w:r>
      <w:hyperlink r:id="rId5" w:history="1">
        <w:r w:rsidR="00C046E8" w:rsidRPr="00767FB6">
          <w:rPr>
            <w:rStyle w:val="a3"/>
            <w:rFonts w:ascii="Times New Roman" w:hAnsi="Times New Roman" w:cs="Times New Roman"/>
            <w:sz w:val="28"/>
            <w:szCs w:val="28"/>
          </w:rPr>
          <w:t>http://pinsk.gov.by/economy/umnyy-gorod.php</w:t>
        </w:r>
      </w:hyperlink>
      <w:r w:rsidR="00C046E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46E8" w:rsidRPr="009E1F87" w:rsidRDefault="00C046E8" w:rsidP="006F12E7">
      <w:pPr>
        <w:spacing w:after="0"/>
        <w:ind w:left="-851"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046E8" w:rsidRPr="009E1F87" w:rsidSect="00156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F87"/>
    <w:rsid w:val="00011426"/>
    <w:rsid w:val="00156DED"/>
    <w:rsid w:val="005B49B0"/>
    <w:rsid w:val="006F12E7"/>
    <w:rsid w:val="007E628F"/>
    <w:rsid w:val="0085187D"/>
    <w:rsid w:val="008C609D"/>
    <w:rsid w:val="009E1F87"/>
    <w:rsid w:val="00A519EB"/>
    <w:rsid w:val="00C0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2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insk.gov.by/economy/umnyy-gorod.php" TargetMode="External"/><Relationship Id="rId4" Type="http://schemas.openxmlformats.org/officeDocument/2006/relationships/hyperlink" Target="mailto:aup@giprosvjaz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2021-06-10T07:22:00Z</cp:lastPrinted>
  <dcterms:created xsi:type="dcterms:W3CDTF">2021-06-10T08:13:00Z</dcterms:created>
  <dcterms:modified xsi:type="dcterms:W3CDTF">2021-06-10T08:13:00Z</dcterms:modified>
</cp:coreProperties>
</file>